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375EE" w14:textId="7CF7BB03"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361C47">
        <w:rPr>
          <w:rFonts w:ascii="Arial" w:hAnsi="Arial" w:cs="Arial"/>
          <w:b/>
          <w:bCs/>
          <w:sz w:val="24"/>
        </w:rPr>
        <w:t>8</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ED38DA">
        <w:rPr>
          <w:rFonts w:ascii="Arial" w:hAnsi="Arial" w:cs="Arial"/>
          <w:b/>
          <w:bCs/>
          <w:sz w:val="24"/>
        </w:rPr>
        <w:t>2</w:t>
      </w:r>
      <w:r w:rsidR="009F49BC">
        <w:rPr>
          <w:rFonts w:ascii="Arial" w:hAnsi="Arial" w:cs="Arial"/>
          <w:b/>
          <w:bCs/>
          <w:sz w:val="24"/>
        </w:rPr>
        <w:t>202003</w:t>
      </w:r>
    </w:p>
    <w:p w14:paraId="3A402033" w14:textId="62E9EFE4"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361C47">
        <w:rPr>
          <w:rFonts w:ascii="Arial" w:eastAsia="MS Mincho" w:hAnsi="Arial" w:cs="Arial"/>
          <w:b/>
          <w:bCs/>
          <w:sz w:val="24"/>
          <w:lang w:eastAsia="ja-JP"/>
        </w:rPr>
        <w:t>February</w:t>
      </w:r>
      <w:bookmarkStart w:id="0" w:name="_GoBack"/>
      <w:bookmarkEnd w:id="0"/>
      <w:r w:rsidR="00361C47">
        <w:rPr>
          <w:rFonts w:ascii="Arial" w:eastAsia="MS Mincho" w:hAnsi="Arial" w:cs="Arial"/>
          <w:b/>
          <w:bCs/>
          <w:sz w:val="24"/>
          <w:lang w:eastAsia="ja-JP"/>
        </w:rPr>
        <w:t xml:space="preserve"> 21</w:t>
      </w:r>
      <w:r w:rsidR="00361C47" w:rsidRPr="00361C47">
        <w:rPr>
          <w:rFonts w:ascii="Arial" w:eastAsia="MS Mincho" w:hAnsi="Arial" w:cs="Arial"/>
          <w:b/>
          <w:bCs/>
          <w:sz w:val="24"/>
          <w:vertAlign w:val="superscript"/>
          <w:lang w:eastAsia="ja-JP"/>
        </w:rPr>
        <w:t>st</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361C47">
        <w:rPr>
          <w:rFonts w:ascii="Arial" w:eastAsia="MS Mincho" w:hAnsi="Arial" w:cs="Arial"/>
          <w:b/>
          <w:bCs/>
          <w:sz w:val="24"/>
          <w:lang w:eastAsia="ja-JP"/>
        </w:rPr>
        <w:t>March 3</w:t>
      </w:r>
      <w:r w:rsidR="00361C47" w:rsidRPr="00361C47">
        <w:rPr>
          <w:rFonts w:ascii="Arial" w:eastAsia="MS Mincho" w:hAnsi="Arial" w:cs="Arial"/>
          <w:b/>
          <w:bCs/>
          <w:sz w:val="24"/>
          <w:vertAlign w:val="superscript"/>
          <w:lang w:eastAsia="ja-JP"/>
        </w:rPr>
        <w:t>rd</w:t>
      </w:r>
      <w:r w:rsidR="00361C47">
        <w:rPr>
          <w:rFonts w:ascii="Arial" w:eastAsia="MS Mincho" w:hAnsi="Arial" w:cs="Arial"/>
          <w:b/>
          <w:bCs/>
          <w:sz w:val="24"/>
          <w:lang w:eastAsia="ja-JP"/>
        </w:rPr>
        <w:t>, 2022</w:t>
      </w:r>
    </w:p>
    <w:p w14:paraId="49201E5E"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7039CDD1"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D43176">
        <w:rPr>
          <w:rFonts w:ascii="Arial" w:hAnsi="Arial"/>
          <w:sz w:val="24"/>
          <w:lang w:val="en-US" w:eastAsia="ko-KR"/>
        </w:rPr>
        <w:t>5</w:t>
      </w:r>
    </w:p>
    <w:p w14:paraId="7499CAAD"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B014383" w14:textId="5A300F8B" w:rsidR="0072162A" w:rsidRPr="00DF2416"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F49BC" w:rsidRPr="009F49BC">
        <w:rPr>
          <w:rFonts w:ascii="Arial" w:hAnsi="Arial"/>
          <w:sz w:val="24"/>
          <w:lang w:val="en-US"/>
        </w:rPr>
        <w:t>Other Potential Enhancements for Rel-17 Multi-beam</w:t>
      </w:r>
    </w:p>
    <w:p w14:paraId="0A87CB64"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69263CB"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90B1986" w14:textId="77777777" w:rsidR="005C36AB" w:rsidRDefault="005C36AB" w:rsidP="005C36AB">
      <w:pPr>
        <w:pStyle w:val="Heading1"/>
        <w:spacing w:before="0" w:after="60"/>
        <w:jc w:val="both"/>
        <w:rPr>
          <w:lang w:val="en-US"/>
        </w:rPr>
      </w:pPr>
      <w:r>
        <w:rPr>
          <w:lang w:val="en-US"/>
        </w:rPr>
        <w:t>Introduction</w:t>
      </w:r>
    </w:p>
    <w:p w14:paraId="09DED4B1" w14:textId="4D617C99" w:rsidR="005C36AB" w:rsidRDefault="00367EBD" w:rsidP="005C36AB">
      <w:pPr>
        <w:pStyle w:val="0Maintext"/>
        <w:spacing w:after="60" w:afterAutospacing="0"/>
        <w:rPr>
          <w:lang w:val="en-US"/>
        </w:rPr>
      </w:pPr>
      <w:r w:rsidRPr="00C4426C">
        <w:rPr>
          <w:lang w:val="en-US"/>
        </w:rPr>
        <w:t xml:space="preserve">This contribution </w:t>
      </w:r>
      <w:r>
        <w:rPr>
          <w:lang w:val="en-US"/>
        </w:rPr>
        <w:t xml:space="preserve">provides </w:t>
      </w:r>
      <w:r w:rsidR="00641AA5">
        <w:rPr>
          <w:lang w:val="en-US"/>
        </w:rPr>
        <w:t>additional enhancements for multi-beam operations</w:t>
      </w:r>
      <w:r w:rsidR="00760E37">
        <w:rPr>
          <w:lang w:val="en-US"/>
        </w:rPr>
        <w:t xml:space="preserve"> based on Rel. 17 beam management framework</w:t>
      </w:r>
      <w:r w:rsidR="005C36AB">
        <w:rPr>
          <w:lang w:val="en-US"/>
        </w:rPr>
        <w:t>.</w:t>
      </w:r>
      <w:r w:rsidR="005C36AB" w:rsidRPr="00294474">
        <w:rPr>
          <w:lang w:val="en-US"/>
        </w:rPr>
        <w:t xml:space="preserve"> </w:t>
      </w:r>
    </w:p>
    <w:p w14:paraId="733D0B1D" w14:textId="77777777" w:rsidR="007D30DA" w:rsidRPr="007D30DA" w:rsidRDefault="007D30DA" w:rsidP="007D30DA"/>
    <w:p w14:paraId="73FDD118" w14:textId="77777777" w:rsidR="00641AA5" w:rsidRDefault="00641AA5" w:rsidP="00BE549F">
      <w:pPr>
        <w:pStyle w:val="01Section1"/>
        <w:spacing w:before="0"/>
        <w:rPr>
          <w:lang w:val="en-US"/>
        </w:rPr>
      </w:pPr>
      <w:r>
        <w:rPr>
          <w:lang w:val="en-US"/>
        </w:rPr>
        <w:t>Additional enhancements</w:t>
      </w:r>
    </w:p>
    <w:p w14:paraId="6B4B8B17" w14:textId="57077F92" w:rsidR="00F36BEA" w:rsidRDefault="00F36BEA" w:rsidP="00F36BEA">
      <w:pPr>
        <w:pStyle w:val="Style1"/>
        <w:spacing w:after="60"/>
        <w:ind w:firstLine="0"/>
      </w:pPr>
      <w:r>
        <w:t>In release 17</w:t>
      </w:r>
      <w:r w:rsidR="001F202C">
        <w:t xml:space="preserve"> </w:t>
      </w:r>
      <w:r w:rsidR="001F202C">
        <w:fldChar w:fldCharType="begin"/>
      </w:r>
      <w:r w:rsidR="001F202C">
        <w:instrText xml:space="preserve"> REF _Ref78983900 \r \h </w:instrText>
      </w:r>
      <w:r w:rsidR="001F202C">
        <w:fldChar w:fldCharType="separate"/>
      </w:r>
      <w:r w:rsidR="006C7E7E">
        <w:t>[1]</w:t>
      </w:r>
      <w:r w:rsidR="001F202C">
        <w:fldChar w:fldCharType="end"/>
      </w:r>
      <w:r>
        <w:t xml:space="preserve">, multi-beam operation is being enhanced to support more efficient (i.e. lower latency and lower overhead) beam management targeting scenarios with higher speed UEs (e.g. High Speed Trains and Highways), and a larger number of configured TCI states. Multi-beam operation is also being enhanced to facilitate uplink panel selection considering coverage loss mitigation for MPE. In release 17, multi-beam enhancements are focusing on </w:t>
      </w:r>
      <w:r w:rsidR="00D83196">
        <w:fldChar w:fldCharType="begin"/>
      </w:r>
      <w:r w:rsidR="00D83196">
        <w:instrText xml:space="preserve"> REF _Ref78981922 \r \h </w:instrText>
      </w:r>
      <w:r w:rsidR="00D83196">
        <w:fldChar w:fldCharType="separate"/>
      </w:r>
      <w:r w:rsidR="006C7E7E">
        <w:t>[2]</w:t>
      </w:r>
      <w:r w:rsidR="00D83196">
        <w:fldChar w:fldCharType="end"/>
      </w:r>
      <w:r>
        <w:t>:</w:t>
      </w:r>
    </w:p>
    <w:p w14:paraId="4C23D77B" w14:textId="77777777" w:rsidR="00F36BEA" w:rsidRDefault="00F36BEA" w:rsidP="00DC2337">
      <w:pPr>
        <w:pStyle w:val="Style1"/>
        <w:numPr>
          <w:ilvl w:val="0"/>
          <w:numId w:val="49"/>
        </w:numPr>
        <w:spacing w:after="60"/>
        <w:contextualSpacing/>
      </w:pPr>
      <w:r>
        <w:t>Unified TCI Framework for DL and UL TCI states.</w:t>
      </w:r>
    </w:p>
    <w:p w14:paraId="160E79B4" w14:textId="77777777" w:rsidR="00F36BEA" w:rsidRDefault="00F36BEA" w:rsidP="00DC2337">
      <w:pPr>
        <w:pStyle w:val="Style1"/>
        <w:numPr>
          <w:ilvl w:val="0"/>
          <w:numId w:val="49"/>
        </w:numPr>
        <w:spacing w:after="60"/>
        <w:contextualSpacing/>
      </w:pPr>
      <w:r>
        <w:t>L1/L2-centeric inter-cell mobility.</w:t>
      </w:r>
    </w:p>
    <w:p w14:paraId="445FB712" w14:textId="77777777" w:rsidR="00F36BEA" w:rsidRDefault="00F36BEA" w:rsidP="00DC2337">
      <w:pPr>
        <w:pStyle w:val="Style1"/>
        <w:numPr>
          <w:ilvl w:val="0"/>
          <w:numId w:val="49"/>
        </w:numPr>
        <w:spacing w:after="60"/>
        <w:contextualSpacing/>
      </w:pPr>
      <w:r>
        <w:t xml:space="preserve">Fast, dynamic TCI state update </w:t>
      </w:r>
      <w:proofErr w:type="spellStart"/>
      <w:r>
        <w:t>signaling</w:t>
      </w:r>
      <w:proofErr w:type="spellEnd"/>
      <w:r>
        <w:t>.</w:t>
      </w:r>
    </w:p>
    <w:p w14:paraId="26FF0EB9" w14:textId="77777777" w:rsidR="00F36BEA" w:rsidRDefault="00F36BEA" w:rsidP="00DC2337">
      <w:pPr>
        <w:pStyle w:val="Style1"/>
        <w:numPr>
          <w:ilvl w:val="0"/>
          <w:numId w:val="49"/>
        </w:numPr>
        <w:spacing w:after="60"/>
        <w:contextualSpacing/>
      </w:pPr>
      <w:r>
        <w:t>Fast uplink panel selection for MP-UEs.</w:t>
      </w:r>
    </w:p>
    <w:p w14:paraId="21E4993D" w14:textId="77777777" w:rsidR="00F36BEA" w:rsidRDefault="00F36BEA" w:rsidP="00DC2337">
      <w:pPr>
        <w:pStyle w:val="Style1"/>
        <w:numPr>
          <w:ilvl w:val="0"/>
          <w:numId w:val="49"/>
        </w:numPr>
        <w:spacing w:after="60"/>
        <w:contextualSpacing/>
      </w:pPr>
      <w:r>
        <w:t>MPE mitigation.</w:t>
      </w:r>
    </w:p>
    <w:p w14:paraId="59D77E51" w14:textId="60F7D1A7" w:rsidR="00F36BEA" w:rsidRDefault="00F36BEA" w:rsidP="00F36BEA">
      <w:pPr>
        <w:pStyle w:val="Style1"/>
        <w:spacing w:after="60"/>
        <w:ind w:firstLine="0"/>
      </w:pPr>
    </w:p>
    <w:p w14:paraId="1E32DCB8" w14:textId="67E8A046" w:rsidR="00D62B11" w:rsidRDefault="00D62B11" w:rsidP="00F36BEA">
      <w:pPr>
        <w:pStyle w:val="Style1"/>
        <w:spacing w:after="60"/>
        <w:ind w:firstLine="0"/>
      </w:pPr>
      <w:r>
        <w:t>There are some remaining issues that should be considered such as:</w:t>
      </w:r>
    </w:p>
    <w:p w14:paraId="7B5FDCF1" w14:textId="702EFBE2" w:rsidR="00D62B11" w:rsidRDefault="00D62B11" w:rsidP="00D62B11">
      <w:pPr>
        <w:pStyle w:val="Style1"/>
        <w:numPr>
          <w:ilvl w:val="0"/>
          <w:numId w:val="49"/>
        </w:numPr>
        <w:spacing w:after="60"/>
      </w:pPr>
      <w:r>
        <w:t>Cross-carrier beam indication.</w:t>
      </w:r>
    </w:p>
    <w:p w14:paraId="5581FDA5" w14:textId="66A5C7AD" w:rsidR="00D62B11" w:rsidRDefault="00D62B11" w:rsidP="00D62B11">
      <w:pPr>
        <w:pStyle w:val="Style1"/>
        <w:numPr>
          <w:ilvl w:val="0"/>
          <w:numId w:val="49"/>
        </w:numPr>
        <w:spacing w:after="60"/>
      </w:pPr>
      <w:r w:rsidRPr="0032112B">
        <w:t xml:space="preserve">Beam alignment for </w:t>
      </w:r>
      <w:proofErr w:type="spellStart"/>
      <w:r w:rsidRPr="0032112B">
        <w:t>Pathloss</w:t>
      </w:r>
      <w:proofErr w:type="spellEnd"/>
      <w:r>
        <w:t xml:space="preserve"> </w:t>
      </w:r>
      <w:r w:rsidRPr="00EE7300">
        <w:rPr>
          <w:lang w:eastAsia="ko-KR"/>
        </w:rPr>
        <w:t>RS</w:t>
      </w:r>
    </w:p>
    <w:p w14:paraId="00EA1969" w14:textId="77777777" w:rsidR="00D62B11" w:rsidRDefault="00D62B11" w:rsidP="00D62B11">
      <w:pPr>
        <w:pStyle w:val="Style1"/>
        <w:spacing w:after="60"/>
        <w:ind w:firstLine="0"/>
      </w:pPr>
    </w:p>
    <w:p w14:paraId="3B15DC5E" w14:textId="77777777" w:rsidR="00F36BEA" w:rsidRDefault="00F36BEA" w:rsidP="00F36BEA">
      <w:pPr>
        <w:pStyle w:val="Style1"/>
        <w:spacing w:after="60"/>
        <w:ind w:firstLine="0"/>
      </w:pPr>
      <w:r>
        <w:t>In addition, advanced beam management techniques are also being considered to speed up beam measurement and reporting for improved beam tracking and beam refinement. In this document we consider additional enhancements for beam management by looking into multi-beam enhancements for:</w:t>
      </w:r>
    </w:p>
    <w:p w14:paraId="50B3CE0D" w14:textId="1979A7D6" w:rsidR="00F36BEA" w:rsidRDefault="00F36BEA" w:rsidP="00DC2337">
      <w:pPr>
        <w:pStyle w:val="Style1"/>
        <w:numPr>
          <w:ilvl w:val="0"/>
          <w:numId w:val="49"/>
        </w:numPr>
        <w:spacing w:after="60"/>
        <w:contextualSpacing/>
      </w:pPr>
      <w:r>
        <w:t>Group-based mobility</w:t>
      </w:r>
    </w:p>
    <w:p w14:paraId="1CF4A2A4" w14:textId="77777777" w:rsidR="00F36BEA" w:rsidRDefault="00F36BEA" w:rsidP="00DC2337">
      <w:pPr>
        <w:pStyle w:val="Style1"/>
        <w:numPr>
          <w:ilvl w:val="0"/>
          <w:numId w:val="49"/>
        </w:numPr>
        <w:spacing w:after="60"/>
        <w:contextualSpacing/>
      </w:pPr>
      <w:r>
        <w:t>Initial access</w:t>
      </w:r>
    </w:p>
    <w:p w14:paraId="70101FDA" w14:textId="20F117E4" w:rsidR="00F36BEA" w:rsidRDefault="00F36BEA" w:rsidP="00DC2337">
      <w:pPr>
        <w:pStyle w:val="Style1"/>
        <w:numPr>
          <w:ilvl w:val="0"/>
          <w:numId w:val="49"/>
        </w:numPr>
        <w:spacing w:after="60"/>
        <w:contextualSpacing/>
      </w:pPr>
      <w:r>
        <w:t>Leveraging position measurements for multi-beam operation</w:t>
      </w:r>
    </w:p>
    <w:p w14:paraId="573D1530" w14:textId="1EF4F059" w:rsidR="009F49BC" w:rsidRDefault="009F49BC" w:rsidP="009F49BC">
      <w:pPr>
        <w:pStyle w:val="Style1"/>
        <w:spacing w:after="60"/>
        <w:ind w:firstLine="0"/>
        <w:contextualSpacing/>
      </w:pPr>
    </w:p>
    <w:p w14:paraId="5EA3BE10" w14:textId="77777777" w:rsidR="006C7E7E" w:rsidRPr="006C7E7E" w:rsidRDefault="006C7E7E" w:rsidP="006C7E7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778427D" w14:textId="77777777" w:rsidR="006C7E7E" w:rsidRPr="006C7E7E" w:rsidRDefault="006C7E7E" w:rsidP="006C7E7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75C65B9" w14:textId="4ABF499F" w:rsidR="00ED2E82" w:rsidRDefault="00D62B11">
      <w:pPr>
        <w:pStyle w:val="Heading2"/>
      </w:pPr>
      <w:r>
        <w:t>Cross-Carrier Beam Indication</w:t>
      </w:r>
    </w:p>
    <w:p w14:paraId="6105B0EB" w14:textId="44192118" w:rsidR="009F49BC" w:rsidRDefault="009F49BC" w:rsidP="009F49BC">
      <w:pPr>
        <w:pStyle w:val="Style1"/>
        <w:spacing w:after="60"/>
        <w:ind w:firstLine="0"/>
        <w:contextualSpacing/>
      </w:pPr>
      <w:r>
        <w:t>NR supports cross carrier scheduling, where a DL related DC</w:t>
      </w:r>
      <w:r w:rsidR="00ED2E82">
        <w:t>I Format (e.g., DCI Format 1_1or DCI Format 1_</w:t>
      </w:r>
      <w:r w:rsidR="00D62B11">
        <w:t xml:space="preserve">2) includes </w:t>
      </w:r>
      <w:r w:rsidR="00ED2E82">
        <w:t xml:space="preserve">a “carrier indicator” field </w:t>
      </w:r>
      <w:r w:rsidR="00D62B11">
        <w:t xml:space="preserve">that </w:t>
      </w:r>
      <w:r w:rsidR="00ED2E82">
        <w:t>can indicate</w:t>
      </w:r>
      <w:r w:rsidR="00D62B11">
        <w:t xml:space="preserve"> the carrier index of a</w:t>
      </w:r>
      <w:r w:rsidR="00ED2E82">
        <w:t xml:space="preserve"> carrier to which the DL assignment app</w:t>
      </w:r>
      <w:r w:rsidR="00D62B11">
        <w:t>lies. When the DCI format also includes a</w:t>
      </w:r>
      <w:r w:rsidR="00ED2E82">
        <w:t xml:space="preserve"> beam indication, the beam indication applies to a carrier based on the </w:t>
      </w:r>
      <w:r w:rsidR="00D62B11">
        <w:t>“</w:t>
      </w:r>
      <w:r w:rsidR="00ED2E82">
        <w:t xml:space="preserve">carrier </w:t>
      </w:r>
      <w:r w:rsidR="00D62B11">
        <w:t>indicator” field</w:t>
      </w:r>
      <w:r w:rsidR="00ED2E82">
        <w:t>.</w:t>
      </w:r>
    </w:p>
    <w:p w14:paraId="39B1444A" w14:textId="07E6A367" w:rsidR="00ED2E82" w:rsidRDefault="00ED2E82" w:rsidP="009F49BC">
      <w:pPr>
        <w:pStyle w:val="Style1"/>
        <w:spacing w:after="60"/>
        <w:ind w:firstLine="0"/>
        <w:contextualSpacing/>
      </w:pPr>
    </w:p>
    <w:p w14:paraId="36176E33" w14:textId="3D1951E5" w:rsidR="00ED2E82" w:rsidRDefault="00ED2E82" w:rsidP="009F49BC">
      <w:pPr>
        <w:pStyle w:val="Style1"/>
        <w:spacing w:after="60"/>
        <w:ind w:firstLine="0"/>
        <w:contextualSpacing/>
      </w:pPr>
      <w:r>
        <w:t>For DCI Format 1_1 and DCI Format 1_2 used for beam indication and without a DL assignment, a “carrier indicator</w:t>
      </w:r>
      <w:r w:rsidR="00D62B11">
        <w:t>”</w:t>
      </w:r>
      <w:r>
        <w:t xml:space="preserve"> field can be configured to be included in the DCI Format. The </w:t>
      </w:r>
      <w:r w:rsidR="00D62B11">
        <w:t>“</w:t>
      </w:r>
      <w:r>
        <w:t>carrier indicator</w:t>
      </w:r>
      <w:r w:rsidR="00D62B11">
        <w:t>”</w:t>
      </w:r>
      <w:r>
        <w:t xml:space="preserve"> field indicates the carrier index of the carrier to which the beam indication applies as illustrated in </w:t>
      </w:r>
      <w:r>
        <w:fldChar w:fldCharType="begin"/>
      </w:r>
      <w:r>
        <w:instrText xml:space="preserve"> REF _Ref95654485 \h </w:instrText>
      </w:r>
      <w:r>
        <w:fldChar w:fldCharType="separate"/>
      </w:r>
      <w:r w:rsidR="006C7E7E">
        <w:t xml:space="preserve">Figure </w:t>
      </w:r>
      <w:r w:rsidR="006C7E7E">
        <w:rPr>
          <w:noProof/>
        </w:rPr>
        <w:t>1</w:t>
      </w:r>
      <w:r>
        <w:fldChar w:fldCharType="end"/>
      </w:r>
      <w:r>
        <w:t>.</w:t>
      </w:r>
    </w:p>
    <w:p w14:paraId="517C9541" w14:textId="3376B276" w:rsidR="00ED2E82" w:rsidRDefault="00ED2E82" w:rsidP="009F49BC">
      <w:pPr>
        <w:pStyle w:val="Style1"/>
        <w:spacing w:after="60"/>
        <w:ind w:firstLine="0"/>
        <w:contextualSpacing/>
      </w:pPr>
    </w:p>
    <w:p w14:paraId="4053EECD" w14:textId="77777777" w:rsidR="00ED2E82" w:rsidRDefault="00ED2E82" w:rsidP="00ED2E82">
      <w:pPr>
        <w:pStyle w:val="Style1"/>
        <w:keepNext/>
        <w:spacing w:after="60"/>
        <w:ind w:firstLine="0"/>
        <w:contextualSpacing/>
        <w:jc w:val="center"/>
      </w:pPr>
      <w:r w:rsidRPr="001873E4">
        <w:rPr>
          <w:rFonts w:cs="Times New Roman"/>
        </w:rPr>
        <w:object w:dxaOrig="5484" w:dyaOrig="2413" w14:anchorId="5FFC5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2pt;height:120.6pt" o:ole="">
            <v:imagedata r:id="rId8" o:title=""/>
          </v:shape>
          <o:OLEObject Type="Embed" ProgID="Visio.Drawing.15" ShapeID="_x0000_i1026" DrawAspect="Content" ObjectID="_1706350775" r:id="rId9"/>
        </w:object>
      </w:r>
    </w:p>
    <w:p w14:paraId="6BA91628" w14:textId="0F67871A" w:rsidR="00ED2E82" w:rsidRDefault="00ED2E82" w:rsidP="00ED2E82">
      <w:pPr>
        <w:pStyle w:val="Caption"/>
        <w:jc w:val="center"/>
      </w:pPr>
      <w:bookmarkStart w:id="3" w:name="_Ref95654485"/>
      <w:r>
        <w:t xml:space="preserve">Figure </w:t>
      </w:r>
      <w:r>
        <w:fldChar w:fldCharType="begin"/>
      </w:r>
      <w:r>
        <w:instrText xml:space="preserve"> SEQ Figure \* ARABIC </w:instrText>
      </w:r>
      <w:r>
        <w:fldChar w:fldCharType="separate"/>
      </w:r>
      <w:r w:rsidR="006C7E7E">
        <w:rPr>
          <w:noProof/>
        </w:rPr>
        <w:t>1</w:t>
      </w:r>
      <w:r>
        <w:fldChar w:fldCharType="end"/>
      </w:r>
      <w:bookmarkEnd w:id="3"/>
      <w:r>
        <w:t>: Example of cross-carrier beam indication.</w:t>
      </w:r>
    </w:p>
    <w:p w14:paraId="655EFB96" w14:textId="77777777" w:rsidR="00ED2E82" w:rsidRDefault="00ED2E82" w:rsidP="009F49BC">
      <w:pPr>
        <w:pStyle w:val="Style1"/>
        <w:spacing w:after="60"/>
        <w:ind w:firstLine="0"/>
        <w:contextualSpacing/>
      </w:pPr>
    </w:p>
    <w:p w14:paraId="6536E9D0" w14:textId="55E6938A" w:rsidR="00D62B11" w:rsidRDefault="009F49BC" w:rsidP="009F49BC">
      <w:pPr>
        <w:pStyle w:val="Style1"/>
        <w:spacing w:after="60"/>
        <w:ind w:firstLine="0"/>
        <w:contextualSpacing/>
        <w:rPr>
          <w:b/>
          <w:i/>
        </w:rPr>
      </w:pPr>
      <w:r w:rsidRPr="00ED2E82">
        <w:rPr>
          <w:b/>
          <w:i/>
        </w:rPr>
        <w:t>Proposal 1:</w:t>
      </w:r>
      <w:r w:rsidRPr="001C10A1">
        <w:rPr>
          <w:i/>
        </w:rPr>
        <w:t xml:space="preserve"> For the Rel-17 unified TCI framework, consider cross carrier beam</w:t>
      </w:r>
      <w:r w:rsidR="00D62B11" w:rsidRPr="001C10A1">
        <w:rPr>
          <w:i/>
        </w:rPr>
        <w:t xml:space="preserve"> indication</w:t>
      </w:r>
      <w:r w:rsidRPr="001C10A1">
        <w:rPr>
          <w:i/>
        </w:rPr>
        <w:t xml:space="preserve"> based on the "carrier indicator field" in DCI Format 1_1 or DCI Format 1_2.</w:t>
      </w:r>
    </w:p>
    <w:p w14:paraId="09B6E8E8" w14:textId="4911C29B" w:rsidR="00D62B11" w:rsidRDefault="00D62B11" w:rsidP="009F49BC">
      <w:pPr>
        <w:pStyle w:val="Style1"/>
        <w:spacing w:after="60"/>
        <w:ind w:firstLine="0"/>
        <w:contextualSpacing/>
        <w:rPr>
          <w:b/>
          <w:i/>
        </w:rPr>
      </w:pPr>
    </w:p>
    <w:p w14:paraId="5F3D8925" w14:textId="77777777" w:rsidR="00D62B11" w:rsidRDefault="00D62B11" w:rsidP="00D62B11">
      <w:pPr>
        <w:pStyle w:val="Heading2"/>
        <w:rPr>
          <w:rFonts w:ascii="Times New Roman" w:hAnsi="Times New Roman"/>
        </w:rPr>
      </w:pPr>
      <w:r w:rsidRPr="0032112B">
        <w:t xml:space="preserve">Beam alignment for </w:t>
      </w:r>
      <w:proofErr w:type="spellStart"/>
      <w:r w:rsidRPr="0032112B">
        <w:t>Pathloss</w:t>
      </w:r>
      <w:proofErr w:type="spellEnd"/>
      <w:r>
        <w:t xml:space="preserve"> </w:t>
      </w:r>
      <w:r w:rsidRPr="00EE7300">
        <w:rPr>
          <w:rFonts w:ascii="Times New Roman" w:hAnsi="Times New Roman"/>
        </w:rPr>
        <w:t>RS</w:t>
      </w:r>
    </w:p>
    <w:p w14:paraId="56C339DD" w14:textId="77777777" w:rsidR="00D62B11" w:rsidRPr="001C10A1" w:rsidRDefault="00D62B11" w:rsidP="00D62B11">
      <w:pPr>
        <w:spacing w:after="60" w:line="288" w:lineRule="auto"/>
        <w:jc w:val="both"/>
        <w:rPr>
          <w:sz w:val="20"/>
          <w:lang w:eastAsia="ko-KR"/>
        </w:rPr>
      </w:pPr>
      <w:r w:rsidRPr="001C10A1">
        <w:rPr>
          <w:sz w:val="20"/>
          <w:lang w:eastAsia="ko-KR"/>
        </w:rPr>
        <w:t xml:space="preserve">A UE measures the DL </w:t>
      </w:r>
      <w:proofErr w:type="spellStart"/>
      <w:r w:rsidRPr="001C10A1">
        <w:rPr>
          <w:sz w:val="20"/>
          <w:lang w:eastAsia="ko-KR"/>
        </w:rPr>
        <w:t>pathloss</w:t>
      </w:r>
      <w:proofErr w:type="spellEnd"/>
      <w:r w:rsidRPr="001C10A1">
        <w:rPr>
          <w:sz w:val="20"/>
          <w:lang w:eastAsia="ko-KR"/>
        </w:rPr>
        <w:t xml:space="preserve"> to determine the </w:t>
      </w:r>
      <w:proofErr w:type="spellStart"/>
      <w:r w:rsidRPr="001C10A1">
        <w:rPr>
          <w:sz w:val="20"/>
          <w:lang w:eastAsia="ko-KR"/>
        </w:rPr>
        <w:t>pathloss</w:t>
      </w:r>
      <w:proofErr w:type="spellEnd"/>
      <w:r w:rsidRPr="001C10A1">
        <w:rPr>
          <w:sz w:val="20"/>
          <w:lang w:eastAsia="ko-KR"/>
        </w:rPr>
        <w:t xml:space="preserve"> in the UL, thanks to the reciprocity of the channel and accordingly determine the UL transmit power. For the DL </w:t>
      </w:r>
      <w:proofErr w:type="spellStart"/>
      <w:r w:rsidRPr="001C10A1">
        <w:rPr>
          <w:sz w:val="20"/>
          <w:lang w:eastAsia="ko-KR"/>
        </w:rPr>
        <w:t>pathloss</w:t>
      </w:r>
      <w:proofErr w:type="spellEnd"/>
      <w:r w:rsidRPr="001C10A1">
        <w:rPr>
          <w:sz w:val="20"/>
          <w:lang w:eastAsia="ko-KR"/>
        </w:rPr>
        <w:t xml:space="preserve"> to be an accurate reflection of the UL </w:t>
      </w:r>
      <w:proofErr w:type="spellStart"/>
      <w:r w:rsidRPr="001C10A1">
        <w:rPr>
          <w:sz w:val="20"/>
          <w:lang w:eastAsia="ko-KR"/>
        </w:rPr>
        <w:t>pathloss</w:t>
      </w:r>
      <w:proofErr w:type="spellEnd"/>
      <w:r w:rsidRPr="001C10A1">
        <w:rPr>
          <w:sz w:val="20"/>
          <w:lang w:eastAsia="ko-KR"/>
        </w:rPr>
        <w:t xml:space="preserve"> the PL-RS and the spatial relation RS should be the same. If they are not the same, they should at least be beam aligned. In this context, the definition of beam is alignment is that one of the </w:t>
      </w:r>
      <w:proofErr w:type="spellStart"/>
      <w:r w:rsidRPr="001C10A1">
        <w:rPr>
          <w:sz w:val="20"/>
          <w:lang w:eastAsia="ko-KR"/>
        </w:rPr>
        <w:t>RSes</w:t>
      </w:r>
      <w:proofErr w:type="spellEnd"/>
      <w:r w:rsidRPr="001C10A1">
        <w:rPr>
          <w:sz w:val="20"/>
          <w:lang w:eastAsia="ko-KR"/>
        </w:rPr>
        <w:t xml:space="preserve"> is a source RS of QCL Type D for the other RS, or both </w:t>
      </w:r>
      <w:proofErr w:type="spellStart"/>
      <w:r w:rsidRPr="001C10A1">
        <w:rPr>
          <w:sz w:val="20"/>
          <w:lang w:eastAsia="ko-KR"/>
        </w:rPr>
        <w:t>RSes</w:t>
      </w:r>
      <w:proofErr w:type="spellEnd"/>
      <w:r w:rsidRPr="001C10A1">
        <w:rPr>
          <w:sz w:val="20"/>
          <w:lang w:eastAsia="ko-KR"/>
        </w:rPr>
        <w:t xml:space="preserve"> have the same QCL Type-D source RS. Hence:</w:t>
      </w:r>
    </w:p>
    <w:p w14:paraId="1A8FC2EE" w14:textId="77777777" w:rsidR="00D62B11" w:rsidRPr="001C10A1" w:rsidRDefault="00D62B11" w:rsidP="00D62B11">
      <w:pPr>
        <w:pStyle w:val="ListParagraph"/>
        <w:numPr>
          <w:ilvl w:val="0"/>
          <w:numId w:val="51"/>
        </w:numPr>
        <w:spacing w:after="180"/>
        <w:ind w:leftChars="0"/>
        <w:contextualSpacing/>
        <w:rPr>
          <w:sz w:val="20"/>
          <w:lang w:eastAsia="ko-KR"/>
        </w:rPr>
      </w:pPr>
      <w:r w:rsidRPr="001C10A1">
        <w:rPr>
          <w:sz w:val="20"/>
          <w:lang w:eastAsia="ko-KR"/>
        </w:rPr>
        <w:t>The PL-RS is identical to the QCL Type-D source RS or UL spatial relation RS of the spatial relation RS in the UL or (if applicable) joint TCI state.</w:t>
      </w:r>
    </w:p>
    <w:p w14:paraId="1835F0AA" w14:textId="77777777" w:rsidR="00D62B11" w:rsidRPr="001C10A1" w:rsidRDefault="00D62B11" w:rsidP="00D62B11">
      <w:pPr>
        <w:pStyle w:val="ListParagraph"/>
        <w:numPr>
          <w:ilvl w:val="0"/>
          <w:numId w:val="51"/>
        </w:numPr>
        <w:spacing w:after="180"/>
        <w:ind w:leftChars="0"/>
        <w:contextualSpacing/>
        <w:rPr>
          <w:sz w:val="20"/>
          <w:lang w:eastAsia="ko-KR"/>
        </w:rPr>
      </w:pPr>
      <w:r w:rsidRPr="001C10A1">
        <w:rPr>
          <w:sz w:val="20"/>
          <w:lang w:eastAsia="ko-KR"/>
        </w:rPr>
        <w:t>The QCL Type-D source RS of PL-RS is identical to the spatial relation RS in the UL or (if applicable) joint TCI state.</w:t>
      </w:r>
    </w:p>
    <w:p w14:paraId="685E792E" w14:textId="77777777" w:rsidR="00D62B11" w:rsidRPr="001C10A1" w:rsidRDefault="00D62B11" w:rsidP="00D62B11">
      <w:pPr>
        <w:pStyle w:val="ListParagraph"/>
        <w:numPr>
          <w:ilvl w:val="0"/>
          <w:numId w:val="51"/>
        </w:numPr>
        <w:spacing w:after="180"/>
        <w:ind w:leftChars="0"/>
        <w:contextualSpacing/>
        <w:rPr>
          <w:sz w:val="20"/>
          <w:lang w:eastAsia="ko-KR"/>
        </w:rPr>
      </w:pPr>
      <w:r w:rsidRPr="001C10A1">
        <w:rPr>
          <w:sz w:val="20"/>
          <w:lang w:eastAsia="ko-KR"/>
        </w:rPr>
        <w:t>The QCL Type-D source RS of PL-RS is identical to the QCL Type-D source RS or UL spatial relation RS of the spatial relation RS in the UL or (if applicable) joint TCI state.</w:t>
      </w:r>
    </w:p>
    <w:p w14:paraId="0B5BC83C" w14:textId="6F5C373B" w:rsidR="00D62B11" w:rsidRPr="001C10A1" w:rsidRDefault="00D62B11" w:rsidP="00D62B11">
      <w:pPr>
        <w:spacing w:after="60" w:line="288" w:lineRule="auto"/>
        <w:jc w:val="both"/>
        <w:rPr>
          <w:i/>
          <w:sz w:val="20"/>
          <w:lang w:eastAsia="ko-KR"/>
        </w:rPr>
      </w:pPr>
      <w:r w:rsidRPr="001C10A1">
        <w:rPr>
          <w:b/>
          <w:i/>
          <w:sz w:val="20"/>
          <w:lang w:eastAsia="ko-KR"/>
        </w:rPr>
        <w:t xml:space="preserve">Proposal </w:t>
      </w:r>
      <w:r w:rsidR="001C10A1" w:rsidRPr="001C10A1">
        <w:rPr>
          <w:b/>
          <w:i/>
          <w:sz w:val="20"/>
          <w:lang w:eastAsia="ko-KR"/>
        </w:rPr>
        <w:t>2</w:t>
      </w:r>
      <w:r w:rsidRPr="001C10A1">
        <w:rPr>
          <w:b/>
          <w:i/>
          <w:sz w:val="20"/>
          <w:lang w:eastAsia="ko-KR"/>
        </w:rPr>
        <w:t xml:space="preserve">: </w:t>
      </w:r>
      <w:r w:rsidRPr="001C10A1">
        <w:rPr>
          <w:i/>
          <w:sz w:val="20"/>
          <w:lang w:eastAsia="ko-KR"/>
        </w:rPr>
        <w:t>"Beam alignment" if the PL-RS and spatial relation RS of a Joint or UL TCI state are not the same is defined as:</w:t>
      </w:r>
    </w:p>
    <w:p w14:paraId="5B1D5633" w14:textId="77777777" w:rsidR="00D62B11" w:rsidRPr="001C10A1" w:rsidRDefault="00D62B11" w:rsidP="00D62B11">
      <w:pPr>
        <w:pStyle w:val="ListParagraph"/>
        <w:numPr>
          <w:ilvl w:val="0"/>
          <w:numId w:val="52"/>
        </w:numPr>
        <w:spacing w:after="60" w:line="288" w:lineRule="auto"/>
        <w:ind w:leftChars="0"/>
        <w:contextualSpacing/>
        <w:jc w:val="both"/>
        <w:rPr>
          <w:i/>
          <w:sz w:val="20"/>
          <w:lang w:eastAsia="ko-KR"/>
        </w:rPr>
      </w:pPr>
      <w:r w:rsidRPr="001C10A1">
        <w:rPr>
          <w:i/>
          <w:sz w:val="20"/>
          <w:lang w:eastAsia="ko-KR"/>
        </w:rPr>
        <w:t>The PL-RS is identical to the QCL Type-D source RS or UL spatial relation RS of the spatial relation RS in the UL or (if applicable) joint TCI state.</w:t>
      </w:r>
    </w:p>
    <w:p w14:paraId="0F80C968" w14:textId="77777777" w:rsidR="00D62B11" w:rsidRPr="001C10A1" w:rsidRDefault="00D62B11" w:rsidP="00D62B11">
      <w:pPr>
        <w:pStyle w:val="ListParagraph"/>
        <w:numPr>
          <w:ilvl w:val="0"/>
          <w:numId w:val="52"/>
        </w:numPr>
        <w:spacing w:after="60" w:line="288" w:lineRule="auto"/>
        <w:ind w:leftChars="0"/>
        <w:contextualSpacing/>
        <w:jc w:val="both"/>
        <w:rPr>
          <w:i/>
          <w:sz w:val="20"/>
          <w:lang w:eastAsia="ko-KR"/>
        </w:rPr>
      </w:pPr>
      <w:r w:rsidRPr="001C10A1">
        <w:rPr>
          <w:i/>
          <w:sz w:val="20"/>
          <w:lang w:eastAsia="ko-KR"/>
        </w:rPr>
        <w:t>The QCL Type-D source RS of PL-RS is identical to the spatial relation RS in the UL or (if applicable) joint TCI state.</w:t>
      </w:r>
    </w:p>
    <w:p w14:paraId="5ABB5D51" w14:textId="77777777" w:rsidR="00D62B11" w:rsidRPr="001C10A1" w:rsidRDefault="00D62B11" w:rsidP="00D62B11">
      <w:pPr>
        <w:pStyle w:val="ListParagraph"/>
        <w:numPr>
          <w:ilvl w:val="0"/>
          <w:numId w:val="52"/>
        </w:numPr>
        <w:spacing w:after="60" w:line="288" w:lineRule="auto"/>
        <w:ind w:leftChars="0"/>
        <w:contextualSpacing/>
        <w:jc w:val="both"/>
        <w:rPr>
          <w:i/>
          <w:sz w:val="20"/>
          <w:lang w:eastAsia="ko-KR"/>
        </w:rPr>
      </w:pPr>
      <w:r w:rsidRPr="001C10A1">
        <w:rPr>
          <w:i/>
          <w:sz w:val="20"/>
          <w:lang w:eastAsia="ko-KR"/>
        </w:rPr>
        <w:t>The QCL Type-D source RS of PL-RS is identical to the QCL Type-D source RS or UL spatial relation RS of the spatial relation RS in the UL or (if applicable) joint TCI state.</w:t>
      </w:r>
    </w:p>
    <w:p w14:paraId="4963823C" w14:textId="77777777" w:rsidR="00D62B11" w:rsidRPr="00D62B11" w:rsidRDefault="00D62B11" w:rsidP="009F49BC">
      <w:pPr>
        <w:pStyle w:val="Style1"/>
        <w:spacing w:after="60"/>
        <w:ind w:firstLine="0"/>
        <w:contextualSpacing/>
      </w:pPr>
    </w:p>
    <w:p w14:paraId="060B4B02" w14:textId="77777777" w:rsidR="00F36BEA" w:rsidRDefault="00F36BEA" w:rsidP="00D62B11">
      <w:pPr>
        <w:pStyle w:val="Heading2"/>
      </w:pPr>
      <w:r w:rsidRPr="00986595">
        <w:t>Group-based beam indication</w:t>
      </w:r>
    </w:p>
    <w:p w14:paraId="7A4948DD" w14:textId="77777777" w:rsidR="00F36BEA" w:rsidRPr="002B38CA" w:rsidRDefault="00F36BEA" w:rsidP="00F36BEA">
      <w:pPr>
        <w:spacing w:after="60" w:line="288" w:lineRule="auto"/>
        <w:rPr>
          <w:sz w:val="20"/>
          <w:lang w:eastAsia="ko-KR"/>
        </w:rPr>
      </w:pPr>
      <w:r w:rsidRPr="002B38CA">
        <w:rPr>
          <w:sz w:val="20"/>
          <w:lang w:eastAsia="ko-KR"/>
        </w:rPr>
        <w:t>In group-based beam indication, beam indication is provided for a group of UEs. We consider two-examples:</w:t>
      </w:r>
    </w:p>
    <w:p w14:paraId="687D4EE1" w14:textId="0C4DBE1F" w:rsidR="00F36BEA" w:rsidRPr="002B38CA" w:rsidRDefault="00F36BEA" w:rsidP="00DC2337">
      <w:pPr>
        <w:pStyle w:val="ListParagraph"/>
        <w:numPr>
          <w:ilvl w:val="0"/>
          <w:numId w:val="46"/>
        </w:numPr>
        <w:spacing w:after="60" w:line="288" w:lineRule="auto"/>
        <w:ind w:leftChars="0"/>
        <w:contextualSpacing/>
        <w:jc w:val="both"/>
        <w:rPr>
          <w:sz w:val="20"/>
          <w:lang w:eastAsia="ko-KR"/>
        </w:rPr>
      </w:pPr>
      <w:r w:rsidRPr="002B38CA">
        <w:rPr>
          <w:sz w:val="20"/>
          <w:lang w:eastAsia="ko-KR"/>
        </w:rPr>
        <w:t xml:space="preserve">In the first example, a group of UEs is moving together in the same direction and at the same speed. For example, they can be UEs in a train or other transportation vehicles. As the UEs are moving together, a common beam indication (TCI state update) signalling can be used to update the TCI state for all UEs in the group. An example is shown in </w:t>
      </w:r>
      <w:r w:rsidRPr="002B38CA">
        <w:rPr>
          <w:sz w:val="20"/>
          <w:lang w:eastAsia="ko-KR"/>
        </w:rPr>
        <w:fldChar w:fldCharType="begin"/>
      </w:r>
      <w:r w:rsidRPr="002B38CA">
        <w:rPr>
          <w:sz w:val="20"/>
          <w:lang w:eastAsia="ko-KR"/>
        </w:rPr>
        <w:instrText xml:space="preserve"> REF _Ref61443320 \h </w:instrText>
      </w:r>
      <w:r w:rsidR="002B38CA">
        <w:rPr>
          <w:sz w:val="20"/>
          <w:lang w:eastAsia="ko-KR"/>
        </w:rPr>
        <w:instrText xml:space="preserve"> \* MERGEFORMAT </w:instrText>
      </w:r>
      <w:r w:rsidRPr="002B38CA">
        <w:rPr>
          <w:sz w:val="20"/>
          <w:lang w:eastAsia="ko-KR"/>
        </w:rPr>
      </w:r>
      <w:r w:rsidRPr="002B38CA">
        <w:rPr>
          <w:sz w:val="20"/>
          <w:lang w:eastAsia="ko-KR"/>
        </w:rPr>
        <w:fldChar w:fldCharType="separate"/>
      </w:r>
      <w:r w:rsidR="006C7E7E" w:rsidRPr="002B38CA">
        <w:rPr>
          <w:sz w:val="20"/>
        </w:rPr>
        <w:t xml:space="preserve">Figure </w:t>
      </w:r>
      <w:r w:rsidR="006C7E7E">
        <w:rPr>
          <w:noProof/>
          <w:sz w:val="20"/>
        </w:rPr>
        <w:t>2</w:t>
      </w:r>
      <w:r w:rsidRPr="002B38CA">
        <w:rPr>
          <w:sz w:val="20"/>
          <w:lang w:eastAsia="ko-KR"/>
        </w:rPr>
        <w:fldChar w:fldCharType="end"/>
      </w:r>
      <w:r w:rsidRPr="002B38CA">
        <w:rPr>
          <w:sz w:val="20"/>
          <w:lang w:eastAsia="ko-KR"/>
        </w:rPr>
        <w:t xml:space="preserve">, wherein a group of UEs is moving together in a bus, and beam measurement, reporting, and indication can be performed by and based on a group leader in a bus. In this example, group-based beam indication can provide benefits such as: </w:t>
      </w:r>
    </w:p>
    <w:p w14:paraId="2A47ECAD"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1) Reduced overhead, due to fewer beam reports and fewer beam indications</w:t>
      </w:r>
    </w:p>
    <w:p w14:paraId="244F61A5"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2) Reduced baseband power consumption, due to beam measurements and reporting only performed by the group leader;</w:t>
      </w:r>
    </w:p>
    <w:p w14:paraId="1461C4A5"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3) Improved reliability and reduced latency, as there is a single beam report from the group leader, higher resolution (more narrow beams) and more frequent beam reports can be supported.</w:t>
      </w:r>
    </w:p>
    <w:p w14:paraId="05C1AF48" w14:textId="1D837571" w:rsidR="00F36BEA" w:rsidRPr="002B38CA" w:rsidRDefault="00DA12D7" w:rsidP="00F36BEA">
      <w:pPr>
        <w:spacing w:after="60" w:line="288" w:lineRule="auto"/>
        <w:jc w:val="both"/>
        <w:rPr>
          <w:b/>
          <w:i/>
          <w:sz w:val="20"/>
          <w:lang w:eastAsia="ko-KR"/>
        </w:rPr>
      </w:pPr>
      <w:r>
        <w:rPr>
          <w:b/>
          <w:i/>
          <w:sz w:val="20"/>
          <w:lang w:eastAsia="ko-KR"/>
        </w:rPr>
        <w:lastRenderedPageBreak/>
        <w:t xml:space="preserve">Observation </w:t>
      </w:r>
      <w:r w:rsidR="006C7E7E">
        <w:rPr>
          <w:b/>
          <w:i/>
          <w:sz w:val="20"/>
          <w:lang w:eastAsia="ko-KR"/>
        </w:rPr>
        <w:t>1</w:t>
      </w:r>
      <w:r w:rsidR="00F36BEA" w:rsidRPr="002B38CA">
        <w:rPr>
          <w:b/>
          <w:i/>
          <w:sz w:val="20"/>
          <w:lang w:eastAsia="ko-KR"/>
        </w:rPr>
        <w:t xml:space="preserve">: </w:t>
      </w:r>
      <w:r w:rsidR="00F36BEA" w:rsidRPr="00F054A5">
        <w:rPr>
          <w:i/>
          <w:sz w:val="20"/>
          <w:lang w:eastAsia="ko-KR"/>
        </w:rPr>
        <w:t>Group-based beam indication based on group-based mobility can reduce overhead, power consumption, and latency while also improving reliability.</w:t>
      </w:r>
    </w:p>
    <w:p w14:paraId="726E1F9D" w14:textId="77777777" w:rsidR="00F36BEA" w:rsidRPr="002B38CA" w:rsidRDefault="00F36BEA" w:rsidP="00F36BEA">
      <w:pPr>
        <w:spacing w:after="60" w:line="288" w:lineRule="auto"/>
        <w:jc w:val="both"/>
        <w:rPr>
          <w:sz w:val="20"/>
          <w:lang w:eastAsia="ko-KR"/>
        </w:rPr>
      </w:pPr>
    </w:p>
    <w:p w14:paraId="05BFCEAA" w14:textId="77777777" w:rsidR="00F36BEA" w:rsidRPr="002B38CA" w:rsidRDefault="00F36BEA" w:rsidP="00F36BEA">
      <w:pPr>
        <w:keepNext/>
        <w:spacing w:after="60" w:line="288" w:lineRule="auto"/>
        <w:jc w:val="center"/>
        <w:rPr>
          <w:sz w:val="20"/>
        </w:rPr>
      </w:pPr>
      <w:r w:rsidRPr="002B38CA">
        <w:rPr>
          <w:sz w:val="20"/>
        </w:rPr>
        <w:object w:dxaOrig="6516" w:dyaOrig="6864" w14:anchorId="5924AA8C">
          <v:shape id="_x0000_i1027" type="#_x0000_t75" style="width:142.2pt;height:151.2pt" o:ole="">
            <v:imagedata r:id="rId10" o:title=""/>
          </v:shape>
          <o:OLEObject Type="Embed" ProgID="Visio.Drawing.15" ShapeID="_x0000_i1027" DrawAspect="Content" ObjectID="_1706350776" r:id="rId11"/>
        </w:object>
      </w:r>
    </w:p>
    <w:p w14:paraId="2A67F05A" w14:textId="573D4325" w:rsidR="00F36BEA" w:rsidRPr="002B38CA" w:rsidRDefault="00F36BEA" w:rsidP="00F36BEA">
      <w:pPr>
        <w:pStyle w:val="Caption"/>
        <w:spacing w:after="60" w:line="288" w:lineRule="auto"/>
        <w:jc w:val="center"/>
        <w:rPr>
          <w:sz w:val="20"/>
          <w:lang w:eastAsia="ko-KR"/>
        </w:rPr>
      </w:pPr>
      <w:bookmarkStart w:id="4" w:name="_Ref61443320"/>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6C7E7E">
        <w:rPr>
          <w:noProof/>
          <w:sz w:val="20"/>
        </w:rPr>
        <w:t>2</w:t>
      </w:r>
      <w:r w:rsidRPr="002B38CA">
        <w:rPr>
          <w:sz w:val="20"/>
        </w:rPr>
        <w:fldChar w:fldCharType="end"/>
      </w:r>
      <w:bookmarkEnd w:id="4"/>
      <w:r w:rsidRPr="002B38CA">
        <w:rPr>
          <w:sz w:val="20"/>
        </w:rPr>
        <w:t>: Group-based beam indication for group-based mobility.</w:t>
      </w:r>
    </w:p>
    <w:p w14:paraId="707C870E" w14:textId="77777777" w:rsidR="00F36BEA" w:rsidRPr="002B38CA" w:rsidRDefault="00F36BEA" w:rsidP="00F36BEA">
      <w:pPr>
        <w:spacing w:after="60" w:line="288" w:lineRule="auto"/>
        <w:rPr>
          <w:sz w:val="20"/>
          <w:lang w:eastAsia="ko-KR"/>
        </w:rPr>
      </w:pPr>
    </w:p>
    <w:p w14:paraId="74562689" w14:textId="4B00F19C" w:rsidR="00F36BEA" w:rsidRPr="002B38CA" w:rsidRDefault="00F36BEA" w:rsidP="00DC2337">
      <w:pPr>
        <w:pStyle w:val="ListParagraph"/>
        <w:numPr>
          <w:ilvl w:val="0"/>
          <w:numId w:val="46"/>
        </w:numPr>
        <w:spacing w:after="60" w:line="288" w:lineRule="auto"/>
        <w:ind w:leftChars="0"/>
        <w:contextualSpacing/>
        <w:jc w:val="both"/>
        <w:rPr>
          <w:sz w:val="20"/>
          <w:lang w:eastAsia="ko-KR"/>
        </w:rPr>
      </w:pPr>
      <w:r w:rsidRPr="002B38CA">
        <w:rPr>
          <w:sz w:val="20"/>
          <w:lang w:eastAsia="ko-KR"/>
        </w:rPr>
        <w:t xml:space="preserve">In the second example, the group of UEs is located in close proximity of each other. This is illustrated in </w:t>
      </w:r>
      <w:r w:rsidRPr="002B38CA">
        <w:rPr>
          <w:sz w:val="20"/>
          <w:lang w:eastAsia="ko-KR"/>
        </w:rPr>
        <w:fldChar w:fldCharType="begin"/>
      </w:r>
      <w:r w:rsidRPr="002B38CA">
        <w:rPr>
          <w:sz w:val="20"/>
          <w:lang w:eastAsia="ko-KR"/>
        </w:rPr>
        <w:instrText xml:space="preserve"> REF _Ref61444491 \h </w:instrText>
      </w:r>
      <w:r w:rsidR="002B38CA">
        <w:rPr>
          <w:sz w:val="20"/>
          <w:lang w:eastAsia="ko-KR"/>
        </w:rPr>
        <w:instrText xml:space="preserve"> \* MERGEFORMAT </w:instrText>
      </w:r>
      <w:r w:rsidRPr="002B38CA">
        <w:rPr>
          <w:sz w:val="20"/>
          <w:lang w:eastAsia="ko-KR"/>
        </w:rPr>
      </w:r>
      <w:r w:rsidRPr="002B38CA">
        <w:rPr>
          <w:sz w:val="20"/>
          <w:lang w:eastAsia="ko-KR"/>
        </w:rPr>
        <w:fldChar w:fldCharType="separate"/>
      </w:r>
      <w:r w:rsidR="006C7E7E" w:rsidRPr="002B38CA">
        <w:rPr>
          <w:sz w:val="20"/>
        </w:rPr>
        <w:t xml:space="preserve">Figure </w:t>
      </w:r>
      <w:r w:rsidR="006C7E7E">
        <w:rPr>
          <w:noProof/>
          <w:sz w:val="20"/>
        </w:rPr>
        <w:t>3</w:t>
      </w:r>
      <w:r w:rsidRPr="002B38CA">
        <w:rPr>
          <w:sz w:val="20"/>
          <w:lang w:eastAsia="ko-KR"/>
        </w:rPr>
        <w:fldChar w:fldCharType="end"/>
      </w:r>
      <w:r w:rsidRPr="002B38CA">
        <w:rPr>
          <w:sz w:val="20"/>
          <w:lang w:eastAsia="ko-KR"/>
        </w:rPr>
        <w:t xml:space="preserve">, wherein narrow beams with high gains are dedicated to the group of UEs (e.g., one narrow beam per UE) for receiving data and increasing system throughput. A wide beam can be used for beam indication and can be common to a group of users in close proximity. </w:t>
      </w:r>
    </w:p>
    <w:p w14:paraId="281138C0" w14:textId="77777777" w:rsidR="00F36BEA" w:rsidRPr="002B38CA" w:rsidRDefault="00F36BEA" w:rsidP="00F36BEA">
      <w:pPr>
        <w:spacing w:after="60" w:line="288" w:lineRule="auto"/>
        <w:rPr>
          <w:sz w:val="20"/>
          <w:lang w:eastAsia="ko-KR"/>
        </w:rPr>
      </w:pPr>
    </w:p>
    <w:p w14:paraId="37BAF5A4" w14:textId="77777777" w:rsidR="00F36BEA" w:rsidRPr="002B38CA" w:rsidRDefault="00F36BEA" w:rsidP="00F36BEA">
      <w:pPr>
        <w:keepNext/>
        <w:spacing w:after="60" w:line="288" w:lineRule="auto"/>
        <w:jc w:val="center"/>
        <w:rPr>
          <w:sz w:val="20"/>
        </w:rPr>
      </w:pPr>
      <w:r w:rsidRPr="002B38CA">
        <w:rPr>
          <w:sz w:val="20"/>
        </w:rPr>
        <w:object w:dxaOrig="3709" w:dyaOrig="2461" w14:anchorId="6EAFA502">
          <v:shape id="_x0000_i1028" type="#_x0000_t75" style="width:201pt;height:134.4pt" o:ole="">
            <v:imagedata r:id="rId12" o:title=""/>
          </v:shape>
          <o:OLEObject Type="Embed" ProgID="Visio.Drawing.15" ShapeID="_x0000_i1028" DrawAspect="Content" ObjectID="_1706350777" r:id="rId13"/>
        </w:object>
      </w:r>
    </w:p>
    <w:p w14:paraId="1A6E70E4" w14:textId="7E41CE07" w:rsidR="00F36BEA" w:rsidRPr="002B38CA" w:rsidRDefault="00F36BEA" w:rsidP="00F36BEA">
      <w:pPr>
        <w:pStyle w:val="Caption"/>
        <w:spacing w:after="60" w:line="288" w:lineRule="auto"/>
        <w:jc w:val="center"/>
        <w:rPr>
          <w:sz w:val="20"/>
        </w:rPr>
      </w:pPr>
      <w:bookmarkStart w:id="5" w:name="_Ref61444491"/>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6C7E7E">
        <w:rPr>
          <w:noProof/>
          <w:sz w:val="20"/>
        </w:rPr>
        <w:t>3</w:t>
      </w:r>
      <w:r w:rsidRPr="002B38CA">
        <w:rPr>
          <w:sz w:val="20"/>
        </w:rPr>
        <w:fldChar w:fldCharType="end"/>
      </w:r>
      <w:bookmarkEnd w:id="5"/>
      <w:r w:rsidRPr="002B38CA">
        <w:rPr>
          <w:sz w:val="20"/>
        </w:rPr>
        <w:t>: UE group for UEs in close proximity with a UE-group wide beam for beam indication and UE-dedicated narrow beams for dedicated traffic.</w:t>
      </w:r>
    </w:p>
    <w:p w14:paraId="19EDAC47" w14:textId="77777777" w:rsidR="00F36BEA" w:rsidRPr="002B38CA" w:rsidRDefault="00F36BEA" w:rsidP="00F36BEA">
      <w:pPr>
        <w:spacing w:after="60" w:line="288" w:lineRule="auto"/>
        <w:jc w:val="center"/>
        <w:rPr>
          <w:sz w:val="20"/>
        </w:rPr>
      </w:pPr>
    </w:p>
    <w:p w14:paraId="4DF6E447" w14:textId="0ADCEA59" w:rsidR="00F36BEA" w:rsidRPr="002B38CA" w:rsidRDefault="00F36BEA" w:rsidP="00F36BEA">
      <w:pPr>
        <w:spacing w:after="60" w:line="288" w:lineRule="auto"/>
        <w:rPr>
          <w:b/>
          <w:i/>
          <w:sz w:val="20"/>
          <w:lang w:eastAsia="ko-KR"/>
        </w:rPr>
      </w:pPr>
      <w:r w:rsidRPr="002B38CA">
        <w:rPr>
          <w:b/>
          <w:i/>
          <w:sz w:val="20"/>
          <w:lang w:eastAsia="ko-KR"/>
        </w:rPr>
        <w:t xml:space="preserve">Observation </w:t>
      </w:r>
      <w:r w:rsidR="006C7E7E">
        <w:rPr>
          <w:b/>
          <w:i/>
          <w:sz w:val="20"/>
          <w:lang w:eastAsia="ko-KR"/>
        </w:rPr>
        <w:t>2</w:t>
      </w:r>
      <w:r w:rsidRPr="002B38CA">
        <w:rPr>
          <w:b/>
          <w:i/>
          <w:sz w:val="20"/>
          <w:lang w:eastAsia="ko-KR"/>
        </w:rPr>
        <w:t xml:space="preserve">: </w:t>
      </w:r>
      <w:r w:rsidRPr="00F054A5">
        <w:rPr>
          <w:i/>
          <w:sz w:val="20"/>
          <w:lang w:eastAsia="ko-KR"/>
        </w:rPr>
        <w:t>UE-group beam indication can utilize a wider beam for beam indication to a group of UEs in close proximity.</w:t>
      </w:r>
    </w:p>
    <w:p w14:paraId="13A05262" w14:textId="77777777" w:rsidR="00F36BEA" w:rsidRPr="002B38CA" w:rsidRDefault="00F36BEA" w:rsidP="00F36BEA">
      <w:pPr>
        <w:spacing w:after="60" w:line="288" w:lineRule="auto"/>
        <w:rPr>
          <w:sz w:val="20"/>
          <w:lang w:eastAsia="ko-KR"/>
        </w:rPr>
      </w:pPr>
    </w:p>
    <w:p w14:paraId="0885443C" w14:textId="3D55B1ED" w:rsidR="00F36BEA" w:rsidRPr="002B38CA" w:rsidRDefault="00F36BEA" w:rsidP="00F36BEA">
      <w:pPr>
        <w:spacing w:after="60" w:line="288" w:lineRule="auto"/>
        <w:jc w:val="both"/>
        <w:rPr>
          <w:sz w:val="20"/>
        </w:rPr>
      </w:pPr>
      <w:r w:rsidRPr="002B38CA">
        <w:rPr>
          <w:sz w:val="20"/>
        </w:rPr>
        <w:t xml:space="preserve">When the </w:t>
      </w:r>
      <w:proofErr w:type="spellStart"/>
      <w:r w:rsidRPr="002B38CA">
        <w:rPr>
          <w:sz w:val="20"/>
        </w:rPr>
        <w:t>gNB</w:t>
      </w:r>
      <w:proofErr w:type="spellEnd"/>
      <w:r w:rsidRPr="002B38CA">
        <w:rPr>
          <w:sz w:val="20"/>
        </w:rPr>
        <w:t xml:space="preserve"> transmits a UE-group beam indication, it includes a TCI state update for each UE in the group as illustrated in </w:t>
      </w:r>
      <w:r w:rsidRPr="002B38CA">
        <w:rPr>
          <w:sz w:val="20"/>
        </w:rPr>
        <w:fldChar w:fldCharType="begin"/>
      </w:r>
      <w:r w:rsidRPr="002B38CA">
        <w:rPr>
          <w:sz w:val="20"/>
        </w:rPr>
        <w:instrText xml:space="preserve"> REF _Ref61445996 \h </w:instrText>
      </w:r>
      <w:r w:rsidR="002B38CA">
        <w:rPr>
          <w:sz w:val="20"/>
        </w:rPr>
        <w:instrText xml:space="preserve"> \* MERGEFORMAT </w:instrText>
      </w:r>
      <w:r w:rsidRPr="002B38CA">
        <w:rPr>
          <w:sz w:val="20"/>
        </w:rPr>
      </w:r>
      <w:r w:rsidRPr="002B38CA">
        <w:rPr>
          <w:sz w:val="20"/>
        </w:rPr>
        <w:fldChar w:fldCharType="separate"/>
      </w:r>
      <w:r w:rsidR="006C7E7E" w:rsidRPr="002B38CA">
        <w:rPr>
          <w:sz w:val="20"/>
        </w:rPr>
        <w:t xml:space="preserve">Figure </w:t>
      </w:r>
      <w:r w:rsidR="006C7E7E">
        <w:rPr>
          <w:noProof/>
          <w:sz w:val="20"/>
        </w:rPr>
        <w:t>4</w:t>
      </w:r>
      <w:r w:rsidRPr="002B38CA">
        <w:rPr>
          <w:sz w:val="20"/>
        </w:rPr>
        <w:fldChar w:fldCharType="end"/>
      </w:r>
      <w:r w:rsidRPr="002B38CA">
        <w:rPr>
          <w:sz w:val="20"/>
        </w:rPr>
        <w:t xml:space="preserve">. In general, however, not every UE in the group requires a TCI state update. This not only increases overhead, but also UE power consumption. One way to resolve this issue is by using a two-part beam indication (received in the same slot), as illustrated in </w:t>
      </w:r>
      <w:r w:rsidRPr="002B38CA">
        <w:rPr>
          <w:sz w:val="20"/>
        </w:rPr>
        <w:fldChar w:fldCharType="begin"/>
      </w:r>
      <w:r w:rsidRPr="002B38CA">
        <w:rPr>
          <w:sz w:val="20"/>
        </w:rPr>
        <w:instrText xml:space="preserve"> REF _Ref61445996 \h </w:instrText>
      </w:r>
      <w:r w:rsidR="002B38CA">
        <w:rPr>
          <w:sz w:val="20"/>
        </w:rPr>
        <w:instrText xml:space="preserve"> \* MERGEFORMAT </w:instrText>
      </w:r>
      <w:r w:rsidRPr="002B38CA">
        <w:rPr>
          <w:sz w:val="20"/>
        </w:rPr>
      </w:r>
      <w:r w:rsidRPr="002B38CA">
        <w:rPr>
          <w:sz w:val="20"/>
        </w:rPr>
        <w:fldChar w:fldCharType="separate"/>
      </w:r>
      <w:r w:rsidR="006C7E7E" w:rsidRPr="002B38CA">
        <w:rPr>
          <w:sz w:val="20"/>
        </w:rPr>
        <w:t xml:space="preserve">Figure </w:t>
      </w:r>
      <w:r w:rsidR="006C7E7E">
        <w:rPr>
          <w:noProof/>
          <w:sz w:val="20"/>
        </w:rPr>
        <w:t>4</w:t>
      </w:r>
      <w:r w:rsidRPr="002B38CA">
        <w:rPr>
          <w:sz w:val="20"/>
        </w:rPr>
        <w:fldChar w:fldCharType="end"/>
      </w:r>
      <w:r w:rsidRPr="002B38CA">
        <w:rPr>
          <w:sz w:val="20"/>
        </w:rPr>
        <w:t xml:space="preserve">, wherein only the updated TCI states for  a subset of the UEs are </w:t>
      </w:r>
      <w:proofErr w:type="spellStart"/>
      <w:r w:rsidRPr="002B38CA">
        <w:rPr>
          <w:sz w:val="20"/>
        </w:rPr>
        <w:t>signaled</w:t>
      </w:r>
      <w:proofErr w:type="spellEnd"/>
      <w:r w:rsidRPr="002B38CA">
        <w:rPr>
          <w:sz w:val="20"/>
        </w:rPr>
        <w:t>. The first part is a small payload signal (i.e. in terms of a number of payload bits) with a lower processing requirement, carrying information about UEs whose TCI state is being updated in the second part. The second part carries TCI state(s) only for UEs indicated in the first part. The first part is processed by all UEs of the UE group, while the second part only by UEs with updated TCI state(s).</w:t>
      </w:r>
    </w:p>
    <w:p w14:paraId="7B9761F9" w14:textId="1B979DE7" w:rsidR="00F36BEA" w:rsidRPr="00F054A5" w:rsidRDefault="00DA12D7" w:rsidP="00F36BEA">
      <w:pPr>
        <w:spacing w:after="60" w:line="288" w:lineRule="auto"/>
        <w:jc w:val="both"/>
        <w:rPr>
          <w:i/>
          <w:sz w:val="20"/>
        </w:rPr>
      </w:pPr>
      <w:r>
        <w:rPr>
          <w:b/>
          <w:i/>
          <w:sz w:val="20"/>
        </w:rPr>
        <w:t xml:space="preserve">Observation </w:t>
      </w:r>
      <w:r w:rsidR="006C7E7E">
        <w:rPr>
          <w:b/>
          <w:i/>
          <w:sz w:val="20"/>
        </w:rPr>
        <w:t>3</w:t>
      </w:r>
      <w:r w:rsidR="00F36BEA" w:rsidRPr="002B38CA">
        <w:rPr>
          <w:b/>
          <w:i/>
          <w:sz w:val="20"/>
        </w:rPr>
        <w:t xml:space="preserve">: </w:t>
      </w:r>
      <w:r w:rsidR="00F36BEA" w:rsidRPr="00F054A5">
        <w:rPr>
          <w:i/>
          <w:sz w:val="20"/>
        </w:rPr>
        <w:t>Two-part beam indication can reduce UEs decoding complexity and air interface overhead.</w:t>
      </w:r>
    </w:p>
    <w:p w14:paraId="799685CA" w14:textId="77777777" w:rsidR="00F36BEA" w:rsidRPr="002B38CA" w:rsidRDefault="00F36BEA" w:rsidP="00F36BEA">
      <w:pPr>
        <w:spacing w:after="60" w:line="288" w:lineRule="auto"/>
        <w:jc w:val="both"/>
        <w:rPr>
          <w:sz w:val="20"/>
        </w:rPr>
      </w:pPr>
    </w:p>
    <w:p w14:paraId="1E978BCC" w14:textId="77777777" w:rsidR="00F36BEA" w:rsidRPr="002B38CA" w:rsidRDefault="00F36BEA" w:rsidP="00F36BEA">
      <w:pPr>
        <w:keepNext/>
        <w:spacing w:after="60" w:line="288" w:lineRule="auto"/>
        <w:jc w:val="center"/>
        <w:rPr>
          <w:sz w:val="20"/>
        </w:rPr>
      </w:pPr>
      <w:r w:rsidRPr="002B38CA">
        <w:rPr>
          <w:sz w:val="20"/>
        </w:rPr>
        <w:object w:dxaOrig="7470" w:dyaOrig="3000" w14:anchorId="635A29FF">
          <v:shape id="_x0000_i1029" type="#_x0000_t75" style="width:294.6pt;height:117.6pt" o:ole="">
            <v:imagedata r:id="rId14" o:title=""/>
          </v:shape>
          <o:OLEObject Type="Embed" ProgID="Visio.Drawing.15" ShapeID="_x0000_i1029" DrawAspect="Content" ObjectID="_1706350778" r:id="rId15"/>
        </w:object>
      </w:r>
    </w:p>
    <w:p w14:paraId="36DADCDD" w14:textId="2291615D" w:rsidR="00F36BEA" w:rsidRPr="002B38CA" w:rsidRDefault="00F36BEA" w:rsidP="00F36BEA">
      <w:pPr>
        <w:pStyle w:val="Caption"/>
        <w:spacing w:after="60" w:line="288" w:lineRule="auto"/>
        <w:jc w:val="center"/>
        <w:rPr>
          <w:sz w:val="20"/>
        </w:rPr>
      </w:pPr>
      <w:bookmarkStart w:id="6" w:name="_Ref61445996"/>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6C7E7E">
        <w:rPr>
          <w:noProof/>
          <w:sz w:val="20"/>
        </w:rPr>
        <w:t>4</w:t>
      </w:r>
      <w:r w:rsidRPr="002B38CA">
        <w:rPr>
          <w:sz w:val="20"/>
        </w:rPr>
        <w:fldChar w:fldCharType="end"/>
      </w:r>
      <w:bookmarkEnd w:id="6"/>
      <w:r w:rsidRPr="002B38CA">
        <w:rPr>
          <w:sz w:val="20"/>
        </w:rPr>
        <w:t>: Single- and two-part beam indication.</w:t>
      </w:r>
    </w:p>
    <w:p w14:paraId="0557D644" w14:textId="77777777" w:rsidR="00F36BEA" w:rsidRPr="002B38CA" w:rsidRDefault="00F36BEA" w:rsidP="00F36BEA">
      <w:pPr>
        <w:spacing w:after="60" w:line="288" w:lineRule="auto"/>
        <w:jc w:val="both"/>
        <w:rPr>
          <w:b/>
          <w:i/>
          <w:sz w:val="20"/>
          <w:lang w:eastAsia="ko-KR"/>
        </w:rPr>
      </w:pPr>
    </w:p>
    <w:p w14:paraId="15C3A93A" w14:textId="53CF1372" w:rsidR="00F36BEA" w:rsidRPr="002B38CA" w:rsidRDefault="00F36BEA" w:rsidP="00F36BEA">
      <w:pPr>
        <w:spacing w:after="60" w:line="288" w:lineRule="auto"/>
        <w:jc w:val="both"/>
        <w:rPr>
          <w:b/>
          <w:i/>
          <w:sz w:val="20"/>
          <w:lang w:eastAsia="ko-KR"/>
        </w:rPr>
      </w:pPr>
      <w:r w:rsidRPr="002B38CA">
        <w:rPr>
          <w:b/>
          <w:i/>
          <w:sz w:val="20"/>
          <w:lang w:eastAsia="ko-KR"/>
        </w:rPr>
        <w:t xml:space="preserve">Proposal </w:t>
      </w:r>
      <w:r w:rsidR="001C10A1">
        <w:rPr>
          <w:b/>
          <w:i/>
          <w:sz w:val="20"/>
          <w:lang w:eastAsia="ko-KR"/>
        </w:rPr>
        <w:t>3</w:t>
      </w:r>
      <w:r w:rsidRPr="002B38CA">
        <w:rPr>
          <w:b/>
          <w:i/>
          <w:sz w:val="20"/>
          <w:lang w:eastAsia="ko-KR"/>
        </w:rPr>
        <w:t xml:space="preserve">: </w:t>
      </w:r>
      <w:r w:rsidRPr="00F054A5">
        <w:rPr>
          <w:i/>
          <w:sz w:val="20"/>
          <w:lang w:eastAsia="ko-KR"/>
        </w:rPr>
        <w:t>For better efficiency, study the support of UE-group DCI for TCI state indication. Where the DCI format includes TCI states for a group of UEs.</w:t>
      </w:r>
    </w:p>
    <w:p w14:paraId="0E3FC43B" w14:textId="77777777" w:rsidR="00F36BEA" w:rsidRPr="00986595" w:rsidRDefault="00F36BEA" w:rsidP="00F36BEA">
      <w:pPr>
        <w:rPr>
          <w:lang w:eastAsia="ko-KR"/>
        </w:rPr>
      </w:pPr>
    </w:p>
    <w:p w14:paraId="3F57BAB7" w14:textId="77777777" w:rsidR="00F36BEA" w:rsidRPr="00907F23" w:rsidRDefault="00F36BEA" w:rsidP="00F36BEA">
      <w:pPr>
        <w:pStyle w:val="Heading2"/>
      </w:pPr>
      <w:r w:rsidRPr="00907F23">
        <w:t xml:space="preserve">Beam Acquisition During Initial Access (RACH Procedure) </w:t>
      </w:r>
    </w:p>
    <w:p w14:paraId="23A2C990" w14:textId="77777777" w:rsidR="00F36BEA" w:rsidRPr="002B38CA" w:rsidRDefault="00F36BEA" w:rsidP="00F36BEA">
      <w:pPr>
        <w:spacing w:after="60" w:line="288" w:lineRule="auto"/>
        <w:jc w:val="both"/>
        <w:rPr>
          <w:sz w:val="20"/>
          <w:lang w:eastAsia="ko-KR"/>
        </w:rPr>
      </w:pPr>
      <w:r w:rsidRPr="002B38CA">
        <w:rPr>
          <w:sz w:val="20"/>
          <w:lang w:eastAsia="ko-KR"/>
        </w:rPr>
        <w:t>During initial access, a UE identifies a beam based on association with an SSB. The UE searches for SSBs that exceed a threshold. The UE selects an SSB that exceeds a threshold (not necessarily the SSB with largest RX power) to determine the associated PRACH Occasions (ROs) to transmit the preamble. Based on the RO of the preamble, network determines the associated SSB and uses the corresponding beam to transmit the Random Access Response (RAR), and subsequent messages, e.g. message 4. The UE after receiving the RAR, transmits message 3 using the same spatial filter as that used for the preamble. This procedure is sub-optimal in at least the following aspects:</w:t>
      </w:r>
    </w:p>
    <w:p w14:paraId="371B4CF0" w14:textId="77777777" w:rsidR="00F36BEA" w:rsidRPr="002B38CA" w:rsidRDefault="00F36BEA" w:rsidP="00DC2337">
      <w:pPr>
        <w:pStyle w:val="ListParagraph"/>
        <w:numPr>
          <w:ilvl w:val="0"/>
          <w:numId w:val="47"/>
        </w:numPr>
        <w:spacing w:after="60" w:line="288" w:lineRule="auto"/>
        <w:ind w:leftChars="0"/>
        <w:contextualSpacing/>
        <w:jc w:val="both"/>
        <w:rPr>
          <w:sz w:val="20"/>
          <w:lang w:eastAsia="ko-KR"/>
        </w:rPr>
      </w:pPr>
      <w:r w:rsidRPr="002B38CA">
        <w:rPr>
          <w:sz w:val="20"/>
          <w:lang w:eastAsia="ko-KR"/>
        </w:rPr>
        <w:t>The UE might not select the RO corresponding to the SSB with the largest RX power. There are a few reasons for this, some might be UE implementation related, others might be related to satisfying the MPE requirement, which could prevent a UE from transmitting in the direction of the most optimum downlink beam. In either case, the network doesn’t know that the optimum downlink beam is different from that of the SSB associated with the RO of the preamble. It would be useful to convey this information to the network. For example, this information can be conveyed during the transmission of message 3.</w:t>
      </w:r>
    </w:p>
    <w:p w14:paraId="2D6372CC" w14:textId="77777777" w:rsidR="00F36BEA" w:rsidRPr="002B38CA" w:rsidRDefault="00F36BEA" w:rsidP="00DC2337">
      <w:pPr>
        <w:pStyle w:val="ListParagraph"/>
        <w:numPr>
          <w:ilvl w:val="0"/>
          <w:numId w:val="47"/>
        </w:numPr>
        <w:spacing w:after="60" w:line="288" w:lineRule="auto"/>
        <w:ind w:leftChars="0"/>
        <w:contextualSpacing/>
        <w:jc w:val="both"/>
        <w:rPr>
          <w:sz w:val="20"/>
          <w:lang w:eastAsia="ko-KR"/>
        </w:rPr>
      </w:pPr>
      <w:r w:rsidRPr="002B38CA">
        <w:rPr>
          <w:sz w:val="20"/>
          <w:lang w:eastAsia="ko-KR"/>
        </w:rPr>
        <w:t>The beams used during initial access and until dedicated RRC configuration are based on SSB beams. These are typical coarse beams. It would be useful to allow for beam refinement during initial access and before dedicated RRC configuration, based on finer beams.</w:t>
      </w:r>
    </w:p>
    <w:p w14:paraId="5B37CD41" w14:textId="77777777" w:rsidR="00F36BEA" w:rsidRPr="002B38CA" w:rsidRDefault="00F36BEA" w:rsidP="00F36BEA">
      <w:pPr>
        <w:spacing w:after="60" w:line="288" w:lineRule="auto"/>
        <w:jc w:val="both"/>
        <w:rPr>
          <w:sz w:val="20"/>
          <w:lang w:eastAsia="ko-KR"/>
        </w:rPr>
      </w:pPr>
    </w:p>
    <w:p w14:paraId="06CA2BF4" w14:textId="43B99A04" w:rsidR="00F36BEA" w:rsidRPr="00F054A5" w:rsidRDefault="00F36BEA" w:rsidP="00F36BEA">
      <w:pPr>
        <w:spacing w:after="60" w:line="288" w:lineRule="auto"/>
        <w:jc w:val="both"/>
        <w:rPr>
          <w:i/>
          <w:iCs/>
          <w:color w:val="000000" w:themeColor="text1"/>
          <w:sz w:val="20"/>
        </w:rPr>
      </w:pPr>
      <w:r w:rsidRPr="002B38CA">
        <w:rPr>
          <w:b/>
          <w:i/>
          <w:iCs/>
          <w:sz w:val="20"/>
        </w:rPr>
        <w:t xml:space="preserve">Proposal </w:t>
      </w:r>
      <w:r w:rsidR="001C10A1">
        <w:rPr>
          <w:b/>
          <w:i/>
          <w:iCs/>
          <w:sz w:val="20"/>
        </w:rPr>
        <w:t>4</w:t>
      </w:r>
      <w:r w:rsidRPr="002B38CA">
        <w:rPr>
          <w:b/>
          <w:i/>
          <w:iCs/>
          <w:sz w:val="20"/>
        </w:rPr>
        <w:t xml:space="preserve">: </w:t>
      </w:r>
      <w:r w:rsidRPr="00F054A5">
        <w:rPr>
          <w:i/>
          <w:iCs/>
          <w:sz w:val="20"/>
        </w:rPr>
        <w:t>Study mechanisms to improve beam management during initial access.</w:t>
      </w:r>
    </w:p>
    <w:p w14:paraId="1504F45A" w14:textId="77777777" w:rsidR="00F36BEA" w:rsidRPr="00DA4791" w:rsidRDefault="00F36BEA" w:rsidP="00F36BEA">
      <w:pPr>
        <w:spacing w:after="60" w:line="288" w:lineRule="auto"/>
        <w:jc w:val="both"/>
        <w:rPr>
          <w:b/>
          <w:i/>
          <w:lang w:eastAsia="ko-KR"/>
        </w:rPr>
      </w:pPr>
    </w:p>
    <w:p w14:paraId="7A1EE9D2" w14:textId="77777777" w:rsidR="00F36BEA" w:rsidRDefault="00F36BEA" w:rsidP="00F36BEA">
      <w:pPr>
        <w:pStyle w:val="Heading2"/>
      </w:pPr>
      <w:r>
        <w:t xml:space="preserve">Positioning-Assisted Predictive Beam Management </w:t>
      </w:r>
    </w:p>
    <w:p w14:paraId="0EFD2849" w14:textId="77777777" w:rsidR="00F36BEA" w:rsidRPr="002B38CA" w:rsidRDefault="00F36BEA" w:rsidP="00F36BEA">
      <w:pPr>
        <w:spacing w:after="60" w:line="288" w:lineRule="auto"/>
        <w:jc w:val="both"/>
        <w:rPr>
          <w:iCs/>
          <w:sz w:val="20"/>
        </w:rPr>
      </w:pPr>
      <w:r w:rsidRPr="002B38CA">
        <w:rPr>
          <w:iCs/>
          <w:sz w:val="20"/>
        </w:rPr>
        <w:t>Beam management is a multi-step procedure. In the first step, the UE measures the channel, i.e. performs measurements on a reference signal associated with a beam, and reports the beam measurements, along with a beam indicator the to the network. In some cases, the reference signals associated with beams are aperiodic, a UE might spend a request to trigger a beam measurement reference signal, the network triggers and transmits the aperiodic reference signal before the UE can measure and report the beam metrics. When the network receives the beam metrics, it determines the beam to be used and sends a corresponding beam indication to the UE. The time between the appearance of a new multi-path and the actual communication across that multi-path includes the following:</w:t>
      </w:r>
    </w:p>
    <w:p w14:paraId="20FF29E6"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Detection that a new multi-path profile can provide better performance than the existing multi-path profile.</w:t>
      </w:r>
    </w:p>
    <w:p w14:paraId="77F72AED"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Trigger and transmission of the reference signal for beam measurement.</w:t>
      </w:r>
    </w:p>
    <w:p w14:paraId="6036C626"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Measurement and reporting by the UE of beam metrics.</w:t>
      </w:r>
    </w:p>
    <w:p w14:paraId="305C89FB"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Indication by the network of a new beam metric.</w:t>
      </w:r>
    </w:p>
    <w:p w14:paraId="6926246B" w14:textId="77777777" w:rsidR="00F36BEA" w:rsidRPr="002B38CA" w:rsidRDefault="00F36BEA" w:rsidP="00F36BEA">
      <w:pPr>
        <w:spacing w:after="60" w:line="288" w:lineRule="auto"/>
        <w:jc w:val="both"/>
        <w:rPr>
          <w:iCs/>
          <w:sz w:val="20"/>
        </w:rPr>
      </w:pPr>
    </w:p>
    <w:p w14:paraId="77500C96" w14:textId="77777777" w:rsidR="00F36BEA" w:rsidRPr="002B38CA" w:rsidRDefault="00F36BEA" w:rsidP="00F36BEA">
      <w:pPr>
        <w:spacing w:after="60" w:line="288" w:lineRule="auto"/>
        <w:jc w:val="both"/>
        <w:rPr>
          <w:iCs/>
          <w:sz w:val="20"/>
        </w:rPr>
      </w:pPr>
      <w:r w:rsidRPr="002B38CA">
        <w:rPr>
          <w:iCs/>
          <w:sz w:val="20"/>
        </w:rPr>
        <w:lastRenderedPageBreak/>
        <w:t>In a high-speed scenario, the time between the appearance of a new multi-path profile and its usage for communication can be large compared with the total lifetime of the multi-path profile.</w:t>
      </w:r>
    </w:p>
    <w:p w14:paraId="54FFD006" w14:textId="7F1B1ECE" w:rsidR="00F36BEA" w:rsidRPr="002B38CA" w:rsidRDefault="00F36BEA" w:rsidP="00F36BEA">
      <w:pPr>
        <w:spacing w:after="60" w:line="288" w:lineRule="auto"/>
        <w:jc w:val="both"/>
        <w:rPr>
          <w:b/>
          <w:i/>
          <w:iCs/>
          <w:sz w:val="20"/>
        </w:rPr>
      </w:pPr>
      <w:r w:rsidRPr="002B38CA">
        <w:rPr>
          <w:b/>
          <w:i/>
          <w:iCs/>
          <w:sz w:val="20"/>
        </w:rPr>
        <w:t xml:space="preserve">Observation </w:t>
      </w:r>
      <w:r w:rsidR="006C7E7E">
        <w:rPr>
          <w:b/>
          <w:i/>
          <w:iCs/>
          <w:sz w:val="20"/>
        </w:rPr>
        <w:t>4</w:t>
      </w:r>
      <w:r w:rsidRPr="002B38CA">
        <w:rPr>
          <w:b/>
          <w:i/>
          <w:iCs/>
          <w:sz w:val="20"/>
        </w:rPr>
        <w:t xml:space="preserve">: </w:t>
      </w:r>
      <w:r w:rsidRPr="00F054A5">
        <w:rPr>
          <w:i/>
          <w:iCs/>
          <w:sz w:val="20"/>
        </w:rPr>
        <w:t>The traditional beam management procedure of triggering a reference signal, measuring and reporting the beam metrics based on the reference signal and beam indication based on the measurements, can be a slow procedure in high speed scenarios, thus degrading performance.</w:t>
      </w:r>
    </w:p>
    <w:p w14:paraId="74DC67FE" w14:textId="77777777" w:rsidR="00F36BEA" w:rsidRPr="002B38CA" w:rsidRDefault="00F36BEA" w:rsidP="00F36BEA">
      <w:pPr>
        <w:spacing w:after="60" w:line="288" w:lineRule="auto"/>
        <w:jc w:val="both"/>
        <w:rPr>
          <w:iCs/>
          <w:sz w:val="20"/>
        </w:rPr>
      </w:pPr>
    </w:p>
    <w:p w14:paraId="468E781B" w14:textId="1B72F146" w:rsidR="00F36BEA" w:rsidRPr="002B38CA" w:rsidRDefault="00F36BEA" w:rsidP="00F36BEA">
      <w:pPr>
        <w:spacing w:after="60" w:line="288" w:lineRule="auto"/>
        <w:jc w:val="both"/>
        <w:rPr>
          <w:iCs/>
          <w:sz w:val="20"/>
        </w:rPr>
      </w:pPr>
      <w:r w:rsidRPr="002B38CA">
        <w:rPr>
          <w:iCs/>
          <w:sz w:val="20"/>
        </w:rPr>
        <w:t xml:space="preserve">To mitigate the performance degradation due to the latency of the beam management procedure, it would be beneficial to signal the beam indication ahead of time, such that as the new multi-path profile, appears, the UE would be activating a new TCI state corresponding to this multi-path profile. The new TCI state would have been </w:t>
      </w:r>
      <w:r w:rsidR="001F202C" w:rsidRPr="002B38CA">
        <w:rPr>
          <w:iCs/>
          <w:sz w:val="20"/>
        </w:rPr>
        <w:t>signalled</w:t>
      </w:r>
      <w:r w:rsidRPr="002B38CA">
        <w:rPr>
          <w:iCs/>
          <w:sz w:val="20"/>
        </w:rPr>
        <w:t xml:space="preserve"> earlier, with an activation time, corresponding to the time of appearance of the associated multi-path profile. Indeed, in a fast beam-changing scenario, for example, as the UE is moving an RRH within a close proximity, the network can indicate a sequence of TCI states with different activation time rather than </w:t>
      </w:r>
      <w:r w:rsidR="001F202C" w:rsidRPr="002B38CA">
        <w:rPr>
          <w:iCs/>
          <w:sz w:val="20"/>
        </w:rPr>
        <w:t>signalling</w:t>
      </w:r>
      <w:r w:rsidRPr="002B38CA">
        <w:rPr>
          <w:iCs/>
          <w:sz w:val="20"/>
        </w:rPr>
        <w:t xml:space="preserve"> each TCI state individually, thus reducing </w:t>
      </w:r>
      <w:r w:rsidR="001F202C" w:rsidRPr="002B38CA">
        <w:rPr>
          <w:iCs/>
          <w:sz w:val="20"/>
        </w:rPr>
        <w:t>signalling</w:t>
      </w:r>
      <w:r w:rsidRPr="002B38CA">
        <w:rPr>
          <w:iCs/>
          <w:sz w:val="20"/>
        </w:rPr>
        <w:t xml:space="preserve"> overhead. For this technique to be feasible, a UE should be moving along a known trajectory (e.g. cars traveling along a high-way or users in a train moving along a track), the network can predicate future multi-path profiles and signal the corresponding TCI states to with an activation time.</w:t>
      </w:r>
    </w:p>
    <w:p w14:paraId="62A26EF6" w14:textId="77777777" w:rsidR="00F36BEA" w:rsidRPr="002B38CA" w:rsidRDefault="00F36BEA" w:rsidP="00F36BEA">
      <w:pPr>
        <w:spacing w:after="60" w:line="288" w:lineRule="auto"/>
        <w:jc w:val="both"/>
        <w:rPr>
          <w:iCs/>
          <w:sz w:val="20"/>
        </w:rPr>
      </w:pPr>
    </w:p>
    <w:p w14:paraId="0C87B454" w14:textId="4E79C5F9" w:rsidR="00F36BEA" w:rsidRPr="002B38CA" w:rsidRDefault="00DA12D7" w:rsidP="00F36BEA">
      <w:pPr>
        <w:spacing w:after="60" w:line="288" w:lineRule="auto"/>
        <w:jc w:val="both"/>
        <w:rPr>
          <w:b/>
          <w:i/>
          <w:iCs/>
          <w:sz w:val="20"/>
        </w:rPr>
      </w:pPr>
      <w:r>
        <w:rPr>
          <w:b/>
          <w:i/>
          <w:iCs/>
          <w:sz w:val="20"/>
        </w:rPr>
        <w:t xml:space="preserve">Observation </w:t>
      </w:r>
      <w:r w:rsidR="006C7E7E">
        <w:rPr>
          <w:b/>
          <w:i/>
          <w:iCs/>
          <w:sz w:val="20"/>
        </w:rPr>
        <w:t>5</w:t>
      </w:r>
      <w:r w:rsidR="00F36BEA" w:rsidRPr="002B38CA">
        <w:rPr>
          <w:b/>
          <w:i/>
          <w:iCs/>
          <w:sz w:val="20"/>
        </w:rPr>
        <w:t xml:space="preserve">: </w:t>
      </w:r>
      <w:r w:rsidR="00F36BEA" w:rsidRPr="00F054A5">
        <w:rPr>
          <w:i/>
          <w:iCs/>
          <w:sz w:val="20"/>
        </w:rPr>
        <w:t xml:space="preserve">For UEs moving along a known trajectory, network can be predicate future multi-path profiles and signal the corresponding TCI states ahead of time with an activation time. This reduces latency to switch to a new beam, and reduces beam indication overhead by </w:t>
      </w:r>
      <w:proofErr w:type="spellStart"/>
      <w:r w:rsidR="00F36BEA" w:rsidRPr="00F054A5">
        <w:rPr>
          <w:i/>
          <w:iCs/>
          <w:sz w:val="20"/>
        </w:rPr>
        <w:t>signaling</w:t>
      </w:r>
      <w:proofErr w:type="spellEnd"/>
      <w:r w:rsidR="00F36BEA" w:rsidRPr="00F054A5">
        <w:rPr>
          <w:i/>
          <w:iCs/>
          <w:sz w:val="20"/>
        </w:rPr>
        <w:t xml:space="preserve"> multiple TCI states in the same message.</w:t>
      </w:r>
    </w:p>
    <w:p w14:paraId="4D1DAFA4" w14:textId="77777777" w:rsidR="00F36BEA" w:rsidRPr="002B38CA" w:rsidRDefault="00F36BEA" w:rsidP="00F36BEA">
      <w:pPr>
        <w:spacing w:after="60" w:line="288" w:lineRule="auto"/>
        <w:jc w:val="both"/>
        <w:rPr>
          <w:iCs/>
          <w:sz w:val="20"/>
        </w:rPr>
      </w:pPr>
    </w:p>
    <w:p w14:paraId="06E7F81B" w14:textId="70D03F4B" w:rsidR="00F36BEA" w:rsidRPr="002B38CA" w:rsidRDefault="00F36BEA" w:rsidP="00F36BEA">
      <w:pPr>
        <w:spacing w:after="60" w:line="288" w:lineRule="auto"/>
        <w:jc w:val="both"/>
        <w:rPr>
          <w:iCs/>
          <w:sz w:val="20"/>
        </w:rPr>
      </w:pPr>
      <w:r w:rsidRPr="002B38CA">
        <w:rPr>
          <w:iCs/>
          <w:sz w:val="20"/>
        </w:rPr>
        <w:t xml:space="preserve">Positioning information can further assist with beam management. UEs travelling through the same point in space are expected to see the same multi-path profile, especially if the UEs are traveling through the same spatial point in close time proximity. For example, in </w:t>
      </w:r>
      <w:r w:rsidRPr="002B38CA">
        <w:rPr>
          <w:iCs/>
          <w:sz w:val="20"/>
        </w:rPr>
        <w:fldChar w:fldCharType="begin"/>
      </w:r>
      <w:r w:rsidRPr="002B38CA">
        <w:rPr>
          <w:iCs/>
          <w:sz w:val="20"/>
        </w:rPr>
        <w:instrText xml:space="preserve"> REF _Ref61447365 \h </w:instrText>
      </w:r>
      <w:r w:rsidR="002B38CA">
        <w:rPr>
          <w:iCs/>
          <w:sz w:val="20"/>
        </w:rPr>
        <w:instrText xml:space="preserve"> \* MERGEFORMAT </w:instrText>
      </w:r>
      <w:r w:rsidRPr="002B38CA">
        <w:rPr>
          <w:iCs/>
          <w:sz w:val="20"/>
        </w:rPr>
      </w:r>
      <w:r w:rsidRPr="002B38CA">
        <w:rPr>
          <w:iCs/>
          <w:sz w:val="20"/>
        </w:rPr>
        <w:fldChar w:fldCharType="separate"/>
      </w:r>
      <w:r w:rsidR="006C7E7E" w:rsidRPr="002B38CA">
        <w:rPr>
          <w:sz w:val="20"/>
        </w:rPr>
        <w:t xml:space="preserve">Figure </w:t>
      </w:r>
      <w:r w:rsidR="006C7E7E">
        <w:rPr>
          <w:noProof/>
          <w:sz w:val="20"/>
        </w:rPr>
        <w:t>5</w:t>
      </w:r>
      <w:r w:rsidRPr="002B38CA">
        <w:rPr>
          <w:iCs/>
          <w:sz w:val="20"/>
        </w:rPr>
        <w:fldChar w:fldCharType="end"/>
      </w:r>
      <w:r w:rsidRPr="002B38CA">
        <w:rPr>
          <w:iCs/>
          <w:sz w:val="20"/>
        </w:rPr>
        <w:t xml:space="preserve">, UE1 passes through point A. UE1 provides to the network a beam measurement report, along with its position information. UE2 is at point B. UE2 provides, its position and velocity to the network. Based on the position and the velocity of UE2 at point B, the network can estimate when UE2 will pass by point A, e.g. time </w:t>
      </w:r>
      <m:oMath>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oMath>
      <w:r w:rsidRPr="002B38CA">
        <w:rPr>
          <w:iCs/>
          <w:sz w:val="20"/>
        </w:rPr>
        <w:t xml:space="preserve">. The network can provide a TCI state corresponding to the multi-path profile (based on UE1’s measurement at point A), to UE2 to be activated at time </w:t>
      </w:r>
      <m:oMath>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oMath>
      <w:r w:rsidRPr="002B38CA">
        <w:rPr>
          <w:iCs/>
          <w:sz w:val="20"/>
        </w:rPr>
        <w:t>.</w:t>
      </w:r>
    </w:p>
    <w:p w14:paraId="0C25C8E7" w14:textId="77777777" w:rsidR="00F36BEA" w:rsidRPr="002B38CA" w:rsidRDefault="00F36BEA" w:rsidP="00F36BEA">
      <w:pPr>
        <w:keepNext/>
        <w:spacing w:after="60" w:line="288" w:lineRule="auto"/>
        <w:jc w:val="center"/>
        <w:rPr>
          <w:sz w:val="20"/>
        </w:rPr>
      </w:pPr>
      <w:r w:rsidRPr="002B38CA">
        <w:rPr>
          <w:sz w:val="20"/>
        </w:rPr>
        <w:object w:dxaOrig="5196" w:dyaOrig="3204" w14:anchorId="150A079D">
          <v:shape id="_x0000_i1030" type="#_x0000_t75" style="width:333.6pt;height:204.6pt" o:ole="">
            <v:imagedata r:id="rId16" o:title=""/>
          </v:shape>
          <o:OLEObject Type="Embed" ProgID="Visio.Drawing.15" ShapeID="_x0000_i1030" DrawAspect="Content" ObjectID="_1706350779" r:id="rId17"/>
        </w:object>
      </w:r>
    </w:p>
    <w:p w14:paraId="2098F606" w14:textId="00190448" w:rsidR="00F36BEA" w:rsidRPr="002B38CA" w:rsidRDefault="00F36BEA" w:rsidP="00F36BEA">
      <w:pPr>
        <w:pStyle w:val="Caption"/>
        <w:jc w:val="center"/>
        <w:rPr>
          <w:iCs/>
          <w:sz w:val="20"/>
        </w:rPr>
      </w:pPr>
      <w:bookmarkStart w:id="7" w:name="_Ref61447365"/>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6C7E7E">
        <w:rPr>
          <w:noProof/>
          <w:sz w:val="20"/>
        </w:rPr>
        <w:t>5</w:t>
      </w:r>
      <w:r w:rsidRPr="002B38CA">
        <w:rPr>
          <w:sz w:val="20"/>
        </w:rPr>
        <w:fldChar w:fldCharType="end"/>
      </w:r>
      <w:bookmarkEnd w:id="7"/>
      <w:r w:rsidRPr="002B38CA">
        <w:rPr>
          <w:sz w:val="20"/>
        </w:rPr>
        <w:t>: Positioning-Based beam management.</w:t>
      </w:r>
    </w:p>
    <w:p w14:paraId="27230F2F" w14:textId="77777777" w:rsidR="00F36BEA" w:rsidRPr="002B38CA" w:rsidRDefault="00F36BEA" w:rsidP="00F36BEA">
      <w:pPr>
        <w:spacing w:after="60" w:line="288" w:lineRule="auto"/>
        <w:jc w:val="both"/>
        <w:rPr>
          <w:iCs/>
          <w:sz w:val="20"/>
        </w:rPr>
      </w:pPr>
    </w:p>
    <w:p w14:paraId="070A5119" w14:textId="401E2DFD" w:rsidR="00F36BEA" w:rsidRPr="002B38CA" w:rsidRDefault="00DA12D7" w:rsidP="00F36BEA">
      <w:pPr>
        <w:spacing w:after="60" w:line="288" w:lineRule="auto"/>
        <w:jc w:val="both"/>
        <w:rPr>
          <w:b/>
          <w:i/>
          <w:iCs/>
          <w:sz w:val="20"/>
        </w:rPr>
      </w:pPr>
      <w:r>
        <w:rPr>
          <w:b/>
          <w:i/>
          <w:iCs/>
          <w:sz w:val="20"/>
        </w:rPr>
        <w:t>Observation</w:t>
      </w:r>
      <w:r w:rsidR="006C7E7E">
        <w:rPr>
          <w:b/>
          <w:i/>
          <w:iCs/>
          <w:sz w:val="20"/>
        </w:rPr>
        <w:t xml:space="preserve"> 6</w:t>
      </w:r>
      <w:r w:rsidR="00F36BEA" w:rsidRPr="002B38CA">
        <w:rPr>
          <w:b/>
          <w:i/>
          <w:iCs/>
          <w:sz w:val="20"/>
        </w:rPr>
        <w:t xml:space="preserve">: </w:t>
      </w:r>
      <w:r w:rsidR="00F36BEA" w:rsidRPr="00F054A5">
        <w:rPr>
          <w:i/>
          <w:iCs/>
          <w:sz w:val="20"/>
        </w:rPr>
        <w:t>Positioning information, can assist the network in building a multi-path profile map of the coverage area that assists in determining the TCI states of UEs passing through a spatial point.</w:t>
      </w:r>
    </w:p>
    <w:p w14:paraId="31D5E973" w14:textId="075EE116" w:rsidR="00F36BEA" w:rsidRDefault="00F36BEA" w:rsidP="00F36BEA">
      <w:pPr>
        <w:spacing w:after="60" w:line="288" w:lineRule="auto"/>
        <w:jc w:val="both"/>
        <w:rPr>
          <w:i/>
          <w:iCs/>
          <w:sz w:val="20"/>
        </w:rPr>
      </w:pPr>
      <w:r w:rsidRPr="002B38CA">
        <w:rPr>
          <w:b/>
          <w:i/>
          <w:iCs/>
          <w:sz w:val="20"/>
        </w:rPr>
        <w:t xml:space="preserve">Proposal </w:t>
      </w:r>
      <w:r w:rsidR="001C10A1">
        <w:rPr>
          <w:b/>
          <w:i/>
          <w:iCs/>
          <w:sz w:val="20"/>
        </w:rPr>
        <w:t>5</w:t>
      </w:r>
      <w:r w:rsidRPr="002B38CA">
        <w:rPr>
          <w:b/>
          <w:i/>
          <w:iCs/>
          <w:sz w:val="20"/>
        </w:rPr>
        <w:t xml:space="preserve">: </w:t>
      </w:r>
      <w:r w:rsidRPr="00F054A5">
        <w:rPr>
          <w:i/>
          <w:iCs/>
          <w:sz w:val="20"/>
        </w:rPr>
        <w:t>Study mechanisms study predictive and positioning-assisted beam management schemes.</w:t>
      </w:r>
    </w:p>
    <w:p w14:paraId="2CE8483A" w14:textId="662798AF" w:rsidR="00547647" w:rsidRDefault="00547647" w:rsidP="00F36BEA">
      <w:pPr>
        <w:spacing w:after="60" w:line="288" w:lineRule="auto"/>
        <w:jc w:val="both"/>
        <w:rPr>
          <w:i/>
          <w:iCs/>
          <w:sz w:val="20"/>
        </w:rPr>
      </w:pPr>
    </w:p>
    <w:p w14:paraId="18195395" w14:textId="77777777" w:rsidR="00547647" w:rsidRPr="00F054A5" w:rsidRDefault="00547647" w:rsidP="00F36BEA">
      <w:pPr>
        <w:spacing w:after="60" w:line="288" w:lineRule="auto"/>
        <w:jc w:val="both"/>
        <w:rPr>
          <w:sz w:val="20"/>
          <w:lang w:eastAsia="ko-KR"/>
        </w:rPr>
      </w:pPr>
    </w:p>
    <w:p w14:paraId="13BE7625" w14:textId="77777777" w:rsidR="00371C87" w:rsidRPr="00641AA5" w:rsidRDefault="00371C87" w:rsidP="008B04C3">
      <w:pPr>
        <w:pStyle w:val="0Maintext"/>
        <w:spacing w:after="60" w:afterAutospacing="0"/>
        <w:ind w:firstLine="0"/>
        <w:rPr>
          <w:lang w:eastAsia="ko-KR"/>
        </w:rPr>
      </w:pPr>
    </w:p>
    <w:p w14:paraId="24F97E7C" w14:textId="325C397B" w:rsidR="00086187" w:rsidRDefault="00086187" w:rsidP="00BE549F">
      <w:pPr>
        <w:pStyle w:val="01Section1"/>
        <w:spacing w:before="0"/>
        <w:rPr>
          <w:lang w:val="en-US"/>
        </w:rPr>
      </w:pPr>
      <w:r>
        <w:rPr>
          <w:lang w:val="en-US"/>
        </w:rPr>
        <w:t>MPUE</w:t>
      </w:r>
    </w:p>
    <w:p w14:paraId="7AD0688F" w14:textId="71A2AA29" w:rsidR="009B7C8B" w:rsidRDefault="009B7C8B" w:rsidP="0062747F">
      <w:pPr>
        <w:spacing w:after="60" w:line="288" w:lineRule="auto"/>
        <w:jc w:val="both"/>
        <w:rPr>
          <w:rFonts w:eastAsia="MS Mincho"/>
          <w:sz w:val="20"/>
          <w:lang w:val="en-US" w:eastAsia="ko-KR"/>
        </w:rPr>
      </w:pPr>
      <w:r>
        <w:rPr>
          <w:rFonts w:eastAsia="MS Mincho"/>
          <w:sz w:val="20"/>
          <w:lang w:val="en-US" w:eastAsia="ko-KR"/>
        </w:rPr>
        <w:t>In RAN1#107-e, to support panel activation/selection, several UE capability types were discussed, and the following working assumption was made.</w:t>
      </w:r>
    </w:p>
    <w:tbl>
      <w:tblPr>
        <w:tblStyle w:val="TableGrid"/>
        <w:tblW w:w="0" w:type="auto"/>
        <w:tblLook w:val="04A0" w:firstRow="1" w:lastRow="0" w:firstColumn="1" w:lastColumn="0" w:noHBand="0" w:noVBand="1"/>
      </w:tblPr>
      <w:tblGrid>
        <w:gridCol w:w="9629"/>
      </w:tblGrid>
      <w:tr w:rsidR="009B7C8B" w:rsidRPr="00A9566E" w14:paraId="78A90B97" w14:textId="77777777" w:rsidTr="009B7C8B">
        <w:tc>
          <w:tcPr>
            <w:tcW w:w="9629" w:type="dxa"/>
          </w:tcPr>
          <w:p w14:paraId="082EA3A8" w14:textId="77777777" w:rsidR="009B7C8B" w:rsidRPr="00A9566E" w:rsidRDefault="009B7C8B" w:rsidP="009B7C8B">
            <w:pPr>
              <w:pStyle w:val="xmsonormal"/>
              <w:snapToGrid w:val="0"/>
              <w:jc w:val="both"/>
              <w:rPr>
                <w:rFonts w:ascii="Times" w:eastAsia="SimSun" w:hAnsi="Times" w:cs="Times"/>
                <w:sz w:val="20"/>
                <w:szCs w:val="20"/>
                <w:highlight w:val="darkYellow"/>
                <w:lang w:eastAsia="ko-KR"/>
              </w:rPr>
            </w:pPr>
            <w:r w:rsidRPr="00A9566E">
              <w:rPr>
                <w:rStyle w:val="Strong"/>
                <w:rFonts w:ascii="Times" w:hAnsi="Times" w:cs="Times"/>
                <w:color w:val="1F497D"/>
                <w:sz w:val="20"/>
                <w:szCs w:val="20"/>
                <w:highlight w:val="darkYellow"/>
              </w:rPr>
              <w:t>Working Assumption</w:t>
            </w:r>
          </w:p>
          <w:p w14:paraId="00492AFE" w14:textId="77777777" w:rsidR="009B7C8B" w:rsidRPr="00361C47" w:rsidRDefault="009B7C8B" w:rsidP="009B7C8B">
            <w:pPr>
              <w:snapToGrid w:val="0"/>
              <w:jc w:val="both"/>
              <w:rPr>
                <w:rFonts w:cs="Times"/>
                <w:sz w:val="20"/>
              </w:rPr>
            </w:pPr>
            <w:r w:rsidRPr="00361C47">
              <w:rPr>
                <w:rFonts w:cs="Times"/>
                <w:sz w:val="20"/>
              </w:rPr>
              <w:t xml:space="preserve">Support the UE reporting a list of UE capability value sets </w:t>
            </w:r>
          </w:p>
          <w:p w14:paraId="12030647" w14:textId="77777777" w:rsidR="009B7C8B" w:rsidRPr="00361C47" w:rsidRDefault="009B7C8B" w:rsidP="009B7C8B">
            <w:pPr>
              <w:numPr>
                <w:ilvl w:val="0"/>
                <w:numId w:val="59"/>
              </w:numPr>
              <w:tabs>
                <w:tab w:val="num" w:pos="851"/>
              </w:tabs>
              <w:snapToGrid w:val="0"/>
              <w:rPr>
                <w:color w:val="000000"/>
                <w:sz w:val="20"/>
                <w:lang w:eastAsia="x-none"/>
              </w:rPr>
            </w:pPr>
            <w:r w:rsidRPr="00361C47">
              <w:rPr>
                <w:color w:val="000000"/>
                <w:sz w:val="20"/>
                <w:lang w:eastAsia="x-none"/>
              </w:rPr>
              <w:t>Each UE capability value set comprises the max supported number of SRS ports</w:t>
            </w:r>
          </w:p>
          <w:p w14:paraId="19148785" w14:textId="77777777" w:rsidR="009B7C8B" w:rsidRPr="00361C47" w:rsidRDefault="009B7C8B" w:rsidP="009B7C8B">
            <w:pPr>
              <w:numPr>
                <w:ilvl w:val="0"/>
                <w:numId w:val="59"/>
              </w:numPr>
              <w:tabs>
                <w:tab w:val="num" w:pos="851"/>
              </w:tabs>
              <w:snapToGrid w:val="0"/>
              <w:rPr>
                <w:color w:val="000000"/>
                <w:sz w:val="20"/>
                <w:lang w:eastAsia="x-none"/>
              </w:rPr>
            </w:pPr>
            <w:r w:rsidRPr="00361C47">
              <w:rPr>
                <w:color w:val="000000"/>
                <w:sz w:val="20"/>
                <w:lang w:eastAsia="x-none"/>
              </w:rPr>
              <w:t xml:space="preserve">For any two different value sets, at least one capability value needs to be different </w:t>
            </w:r>
          </w:p>
          <w:p w14:paraId="439FC43A" w14:textId="77777777" w:rsidR="009B7C8B" w:rsidRPr="00361C47" w:rsidRDefault="009B7C8B" w:rsidP="009B7C8B">
            <w:pPr>
              <w:numPr>
                <w:ilvl w:val="1"/>
                <w:numId w:val="59"/>
              </w:numPr>
              <w:snapToGrid w:val="0"/>
              <w:rPr>
                <w:color w:val="000000"/>
                <w:sz w:val="20"/>
                <w:lang w:eastAsia="x-none"/>
              </w:rPr>
            </w:pPr>
            <w:r w:rsidRPr="00361C47">
              <w:rPr>
                <w:color w:val="000000"/>
                <w:sz w:val="20"/>
                <w:lang w:eastAsia="x-none"/>
              </w:rPr>
              <w:t>FFS: If in addition also identical value sets are allowed.</w:t>
            </w:r>
          </w:p>
          <w:p w14:paraId="31E5E06C" w14:textId="77777777" w:rsidR="009B7C8B" w:rsidRPr="00A9566E" w:rsidRDefault="009B7C8B" w:rsidP="00361C47">
            <w:pPr>
              <w:numPr>
                <w:ilvl w:val="0"/>
                <w:numId w:val="59"/>
              </w:numPr>
              <w:tabs>
                <w:tab w:val="num" w:pos="851"/>
              </w:tabs>
              <w:snapToGrid w:val="0"/>
              <w:rPr>
                <w:color w:val="000000"/>
                <w:sz w:val="20"/>
                <w:lang w:eastAsia="x-none"/>
              </w:rPr>
            </w:pPr>
            <w:r w:rsidRPr="00361C47">
              <w:rPr>
                <w:color w:val="000000"/>
                <w:sz w:val="20"/>
                <w:lang w:eastAsia="x-none"/>
              </w:rPr>
              <w:t>Whether the UE capability value set can be common across all BWPs/CCs in same band or BC can be discussed in UE feature session</w:t>
            </w:r>
          </w:p>
          <w:p w14:paraId="3B7404DF" w14:textId="77777777" w:rsidR="00A9566E" w:rsidRPr="00361C47" w:rsidRDefault="00A9566E" w:rsidP="00A9566E">
            <w:pPr>
              <w:rPr>
                <w:rStyle w:val="Strong"/>
                <w:sz w:val="20"/>
              </w:rPr>
            </w:pPr>
          </w:p>
          <w:p w14:paraId="5ADF4F39" w14:textId="391D7DE8" w:rsidR="00A9566E" w:rsidRPr="00361C47" w:rsidRDefault="00A9566E" w:rsidP="00A9566E">
            <w:pPr>
              <w:rPr>
                <w:sz w:val="20"/>
                <w:lang w:val="sv-SE"/>
              </w:rPr>
            </w:pPr>
            <w:r w:rsidRPr="00361C47">
              <w:rPr>
                <w:rStyle w:val="Strong"/>
                <w:sz w:val="20"/>
              </w:rPr>
              <w:t>Conclusion</w:t>
            </w:r>
          </w:p>
          <w:p w14:paraId="4BC8FD45" w14:textId="33720B05" w:rsidR="00A9566E" w:rsidRPr="00361C47" w:rsidRDefault="00A9566E" w:rsidP="00361C47">
            <w:pPr>
              <w:rPr>
                <w:sz w:val="20"/>
                <w:lang w:val="sv-SE"/>
              </w:rPr>
            </w:pPr>
            <w:r w:rsidRPr="00361C47">
              <w:rPr>
                <w:sz w:val="20"/>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tc>
      </w:tr>
    </w:tbl>
    <w:p w14:paraId="0866D0EC" w14:textId="77777777" w:rsidR="009B7C8B" w:rsidRPr="00A9566E" w:rsidRDefault="009B7C8B" w:rsidP="0062747F">
      <w:pPr>
        <w:spacing w:after="60" w:line="288" w:lineRule="auto"/>
        <w:jc w:val="both"/>
        <w:rPr>
          <w:rFonts w:eastAsia="MS Mincho"/>
          <w:sz w:val="20"/>
          <w:lang w:val="en-US" w:eastAsia="ko-KR"/>
        </w:rPr>
      </w:pPr>
    </w:p>
    <w:p w14:paraId="6D753ACE" w14:textId="12ACB75F" w:rsidR="00A9566E" w:rsidRPr="00361C47" w:rsidRDefault="00A9566E" w:rsidP="00A9566E">
      <w:pPr>
        <w:jc w:val="both"/>
        <w:rPr>
          <w:sz w:val="20"/>
          <w:lang w:eastAsia="ko-KR"/>
        </w:rPr>
      </w:pPr>
      <w:r>
        <w:rPr>
          <w:sz w:val="20"/>
          <w:lang w:eastAsia="ko-KR"/>
        </w:rPr>
        <w:t>According to th</w:t>
      </w:r>
      <w:r w:rsidRPr="00361C47">
        <w:rPr>
          <w:sz w:val="20"/>
          <w:lang w:eastAsia="ko-KR"/>
        </w:rPr>
        <w:t>e working assumption (WA)</w:t>
      </w:r>
      <w:r>
        <w:rPr>
          <w:sz w:val="20"/>
          <w:lang w:eastAsia="ko-KR"/>
        </w:rPr>
        <w:t>, each</w:t>
      </w:r>
      <w:r w:rsidRPr="00361C47">
        <w:rPr>
          <w:sz w:val="20"/>
          <w:lang w:eastAsia="ko-KR"/>
        </w:rPr>
        <w:t xml:space="preserve"> UE capability value set compris</w:t>
      </w:r>
      <w:r>
        <w:rPr>
          <w:sz w:val="20"/>
          <w:lang w:eastAsia="ko-KR"/>
        </w:rPr>
        <w:t>es</w:t>
      </w:r>
      <w:r w:rsidRPr="00361C47">
        <w:rPr>
          <w:sz w:val="20"/>
          <w:lang w:eastAsia="ko-KR"/>
        </w:rPr>
        <w:t xml:space="preserve"> the max supported number of SRS ports. Technically, the max supported number of SRS ports is not enough to support panel selection/activation in our view. Including additional information such coherence type or TPMI is needed to make the functionality of this feature complete and meaningful. Given the discussion and conclusion made during RAN1#107-e, however, since there is no consensus on additional capability value, we can accept the majority view </w:t>
      </w:r>
      <w:r>
        <w:rPr>
          <w:sz w:val="20"/>
          <w:lang w:eastAsia="ko-KR"/>
        </w:rPr>
        <w:t>in Rel.17</w:t>
      </w:r>
      <w:r w:rsidRPr="00361C47">
        <w:rPr>
          <w:sz w:val="20"/>
          <w:lang w:eastAsia="ko-KR"/>
        </w:rPr>
        <w:t>(if that is to confirm the WA).</w:t>
      </w:r>
      <w:r>
        <w:rPr>
          <w:sz w:val="20"/>
          <w:lang w:eastAsia="ko-KR"/>
        </w:rPr>
        <w:t xml:space="preserve"> A potential enhancement on top of Rel.17 can be enhancing the UE capability value (or value set) by considering an enhanced capability type.</w:t>
      </w:r>
    </w:p>
    <w:p w14:paraId="149D3133" w14:textId="77777777" w:rsidR="00A9566E" w:rsidRPr="00A9566E" w:rsidRDefault="00A9566E" w:rsidP="0062747F">
      <w:pPr>
        <w:spacing w:after="60" w:line="288" w:lineRule="auto"/>
        <w:jc w:val="both"/>
        <w:rPr>
          <w:rFonts w:eastAsia="MS Mincho"/>
          <w:sz w:val="20"/>
          <w:lang w:val="en-US" w:eastAsia="ko-KR"/>
        </w:rPr>
      </w:pPr>
    </w:p>
    <w:p w14:paraId="150D2220" w14:textId="29776665" w:rsidR="0062747F" w:rsidRPr="0062747F" w:rsidRDefault="0062747F" w:rsidP="0062747F">
      <w:pPr>
        <w:spacing w:after="60" w:line="288" w:lineRule="auto"/>
        <w:jc w:val="both"/>
        <w:rPr>
          <w:rFonts w:eastAsia="MS Mincho"/>
          <w:sz w:val="20"/>
          <w:lang w:val="en-US" w:eastAsia="ko-KR"/>
        </w:rPr>
      </w:pPr>
      <w:r w:rsidRPr="00A9566E">
        <w:rPr>
          <w:rFonts w:eastAsia="MS Mincho"/>
          <w:sz w:val="20"/>
          <w:lang w:val="en-US" w:eastAsia="ko-KR"/>
        </w:rPr>
        <w:t>Re the</w:t>
      </w:r>
      <w:r w:rsidR="00A9566E">
        <w:rPr>
          <w:rFonts w:eastAsia="MS Mincho"/>
          <w:sz w:val="20"/>
          <w:lang w:val="en-US" w:eastAsia="ko-KR"/>
        </w:rPr>
        <w:t xml:space="preserve"> enhanced</w:t>
      </w:r>
      <w:r w:rsidRPr="00A9566E">
        <w:rPr>
          <w:rFonts w:eastAsia="MS Mincho"/>
          <w:sz w:val="20"/>
          <w:lang w:val="en-US" w:eastAsia="ko-KR"/>
        </w:rPr>
        <w:t xml:space="preserve"> capability type, the coherence type can convey the useful information without revealing MPUE panel information. In Rel. 15, the following </w:t>
      </w:r>
      <w:r w:rsidRPr="0062747F">
        <w:rPr>
          <w:rFonts w:eastAsia="MS Mincho"/>
          <w:sz w:val="20"/>
          <w:lang w:val="en-US" w:eastAsia="ko-KR"/>
        </w:rPr>
        <w:t>coherence types are supported for UL transmission from a 4Tx UE.</w:t>
      </w:r>
    </w:p>
    <w:p w14:paraId="33E2E11E" w14:textId="77777777" w:rsidR="0062747F" w:rsidRPr="0062747F" w:rsidRDefault="0062747F" w:rsidP="0062747F">
      <w:pPr>
        <w:numPr>
          <w:ilvl w:val="0"/>
          <w:numId w:val="53"/>
        </w:numPr>
        <w:spacing w:after="60" w:line="288" w:lineRule="auto"/>
        <w:contextualSpacing/>
        <w:jc w:val="both"/>
        <w:rPr>
          <w:rFonts w:eastAsia="MS Mincho"/>
          <w:sz w:val="20"/>
          <w:lang w:val="en-US" w:eastAsia="ko-KR"/>
        </w:rPr>
      </w:pPr>
      <w:r w:rsidRPr="0062747F">
        <w:rPr>
          <w:rFonts w:eastAsia="MS Mincho"/>
          <w:sz w:val="20"/>
          <w:lang w:val="en-US" w:eastAsia="ko-KR"/>
        </w:rPr>
        <w:t>Full-coherence (FC): a layer of UL transmission can be transmitted via all SRS antenna ports</w:t>
      </w:r>
    </w:p>
    <w:p w14:paraId="21E31E48" w14:textId="77777777" w:rsidR="0062747F" w:rsidRPr="0062747F" w:rsidRDefault="0062747F" w:rsidP="0062747F">
      <w:pPr>
        <w:numPr>
          <w:ilvl w:val="0"/>
          <w:numId w:val="53"/>
        </w:numPr>
        <w:spacing w:after="60" w:line="288" w:lineRule="auto"/>
        <w:contextualSpacing/>
        <w:jc w:val="both"/>
        <w:rPr>
          <w:rFonts w:eastAsia="MS Mincho"/>
          <w:sz w:val="20"/>
          <w:lang w:val="en-US" w:eastAsia="ko-KR"/>
        </w:rPr>
      </w:pPr>
      <w:r w:rsidRPr="0062747F">
        <w:rPr>
          <w:rFonts w:eastAsia="MS Mincho"/>
          <w:sz w:val="20"/>
          <w:lang w:val="en-US" w:eastAsia="ko-KR"/>
        </w:rPr>
        <w:t xml:space="preserve">Partial-coherence (NC): a layer of UL transmission can be transmitted via a subset (2 out of 4) of antenna ports </w:t>
      </w:r>
    </w:p>
    <w:p w14:paraId="210D7697" w14:textId="77777777" w:rsidR="0062747F" w:rsidRPr="0062747F" w:rsidRDefault="0062747F" w:rsidP="0062747F">
      <w:pPr>
        <w:numPr>
          <w:ilvl w:val="0"/>
          <w:numId w:val="53"/>
        </w:numPr>
        <w:spacing w:after="60" w:line="288" w:lineRule="auto"/>
        <w:contextualSpacing/>
        <w:jc w:val="both"/>
        <w:rPr>
          <w:rFonts w:eastAsia="MS Mincho"/>
          <w:sz w:val="20"/>
          <w:lang w:val="en-US" w:eastAsia="ko-KR"/>
        </w:rPr>
      </w:pPr>
      <w:r w:rsidRPr="0062747F">
        <w:rPr>
          <w:rFonts w:eastAsia="MS Mincho"/>
          <w:sz w:val="20"/>
          <w:lang w:val="en-US" w:eastAsia="ko-KR"/>
        </w:rPr>
        <w:t>Non-coherence (NC): a layer of UL transmission can be transmitted via a single (1 out of 4) antenna port.</w:t>
      </w:r>
    </w:p>
    <w:p w14:paraId="1C8B4ECE" w14:textId="48FF5DF0" w:rsidR="0062747F" w:rsidRPr="0062747F" w:rsidRDefault="0062747F" w:rsidP="0062747F">
      <w:pPr>
        <w:spacing w:after="60" w:line="288" w:lineRule="auto"/>
        <w:jc w:val="both"/>
        <w:rPr>
          <w:rFonts w:eastAsia="MS Mincho"/>
          <w:sz w:val="20"/>
          <w:lang w:val="en-US" w:eastAsia="ko-KR"/>
        </w:rPr>
      </w:pPr>
      <w:r w:rsidRPr="0062747F">
        <w:rPr>
          <w:rFonts w:eastAsia="MS Mincho"/>
          <w:sz w:val="20"/>
          <w:lang w:val="en-US" w:eastAsia="ko-KR"/>
        </w:rPr>
        <w:t xml:space="preserve">Since coherence types correspond to different antenna port selection, for a MPUE, coherence types can be used to convey an information about antenna port grouping (or panels) implicitly. An example is illustrated in </w:t>
      </w:r>
      <w:r w:rsidRPr="0062747F">
        <w:rPr>
          <w:rFonts w:eastAsia="MS Mincho"/>
          <w:sz w:val="20"/>
          <w:lang w:val="en-US" w:eastAsia="ko-KR"/>
        </w:rPr>
        <w:fldChar w:fldCharType="begin"/>
      </w:r>
      <w:r w:rsidRPr="0062747F">
        <w:rPr>
          <w:rFonts w:eastAsia="MS Mincho"/>
          <w:sz w:val="20"/>
          <w:lang w:val="en-US" w:eastAsia="ko-KR"/>
        </w:rPr>
        <w:instrText xml:space="preserve"> REF _Ref83743175 \h </w:instrText>
      </w:r>
      <w:r w:rsidRPr="0062747F">
        <w:rPr>
          <w:rFonts w:eastAsia="MS Mincho"/>
          <w:sz w:val="20"/>
          <w:lang w:val="en-US" w:eastAsia="ko-KR"/>
        </w:rPr>
      </w:r>
      <w:r w:rsidRPr="0062747F">
        <w:rPr>
          <w:rFonts w:eastAsia="MS Mincho"/>
          <w:sz w:val="20"/>
          <w:lang w:val="en-US" w:eastAsia="ko-KR"/>
        </w:rPr>
        <w:fldChar w:fldCharType="separate"/>
      </w:r>
      <w:r w:rsidR="006C7E7E" w:rsidRPr="0062747F">
        <w:rPr>
          <w:rFonts w:eastAsia="MS Mincho"/>
          <w:b/>
          <w:sz w:val="20"/>
        </w:rPr>
        <w:t xml:space="preserve">Table </w:t>
      </w:r>
      <w:r w:rsidR="006C7E7E">
        <w:rPr>
          <w:rFonts w:eastAsia="MS Mincho"/>
          <w:b/>
          <w:noProof/>
          <w:sz w:val="20"/>
        </w:rPr>
        <w:t>1</w:t>
      </w:r>
      <w:r w:rsidRPr="0062747F">
        <w:rPr>
          <w:rFonts w:eastAsia="MS Mincho"/>
          <w:sz w:val="20"/>
          <w:lang w:val="en-US" w:eastAsia="ko-KR"/>
        </w:rPr>
        <w:fldChar w:fldCharType="end"/>
      </w:r>
      <w:r w:rsidRPr="0062747F">
        <w:rPr>
          <w:rFonts w:eastAsia="MS Mincho"/>
          <w:sz w:val="20"/>
          <w:lang w:val="en-US" w:eastAsia="ko-KR"/>
        </w:rPr>
        <w:t>.</w:t>
      </w:r>
    </w:p>
    <w:p w14:paraId="275B0769" w14:textId="77777777" w:rsidR="0062747F" w:rsidRPr="0062747F" w:rsidRDefault="0062747F" w:rsidP="0062747F">
      <w:pPr>
        <w:numPr>
          <w:ilvl w:val="0"/>
          <w:numId w:val="54"/>
        </w:numPr>
        <w:spacing w:after="60" w:line="288" w:lineRule="auto"/>
        <w:contextualSpacing/>
        <w:jc w:val="both"/>
        <w:rPr>
          <w:rFonts w:eastAsia="MS Mincho"/>
          <w:sz w:val="20"/>
          <w:lang w:val="en-US" w:eastAsia="ko-KR"/>
        </w:rPr>
      </w:pPr>
      <w:r w:rsidRPr="0062747F">
        <w:rPr>
          <w:rFonts w:eastAsia="MS Mincho"/>
          <w:sz w:val="20"/>
          <w:lang w:val="en-US" w:eastAsia="ko-KR"/>
        </w:rPr>
        <w:t xml:space="preserve">For a FC UE, TPMI 12 (likewise 13-27) indicates a FC </w:t>
      </w:r>
      <w:proofErr w:type="spellStart"/>
      <w:r w:rsidRPr="0062747F">
        <w:rPr>
          <w:rFonts w:eastAsia="MS Mincho"/>
          <w:sz w:val="20"/>
          <w:lang w:val="en-US" w:eastAsia="ko-KR"/>
        </w:rPr>
        <w:t>precoder</w:t>
      </w:r>
      <w:proofErr w:type="spellEnd"/>
      <w:r w:rsidRPr="0062747F">
        <w:rPr>
          <w:rFonts w:eastAsia="MS Mincho"/>
          <w:sz w:val="20"/>
          <w:lang w:val="en-US" w:eastAsia="ko-KR"/>
        </w:rPr>
        <w:t xml:space="preserve"> for UL transmission from all antenna ports 0-3. This can be mapped to a single panel (or selecting all 4 ports).</w:t>
      </w:r>
    </w:p>
    <w:p w14:paraId="6A380110" w14:textId="77777777" w:rsidR="0062747F" w:rsidRPr="0062747F" w:rsidRDefault="0062747F" w:rsidP="0062747F">
      <w:pPr>
        <w:numPr>
          <w:ilvl w:val="0"/>
          <w:numId w:val="54"/>
        </w:numPr>
        <w:spacing w:after="60" w:line="288" w:lineRule="auto"/>
        <w:contextualSpacing/>
        <w:jc w:val="both"/>
        <w:rPr>
          <w:rFonts w:eastAsia="MS Mincho"/>
          <w:sz w:val="20"/>
          <w:lang w:val="en-US" w:eastAsia="ko-KR"/>
        </w:rPr>
      </w:pPr>
      <w:r w:rsidRPr="0062747F">
        <w:rPr>
          <w:rFonts w:eastAsia="MS Mincho"/>
          <w:sz w:val="20"/>
          <w:lang w:val="en-US" w:eastAsia="ko-KR"/>
        </w:rPr>
        <w:t xml:space="preserve">For a PC UE, </w:t>
      </w:r>
    </w:p>
    <w:p w14:paraId="018DAC51" w14:textId="77777777" w:rsidR="0062747F" w:rsidRPr="0062747F" w:rsidRDefault="0062747F" w:rsidP="0062747F">
      <w:pPr>
        <w:numPr>
          <w:ilvl w:val="1"/>
          <w:numId w:val="54"/>
        </w:numPr>
        <w:spacing w:after="60" w:line="288" w:lineRule="auto"/>
        <w:contextualSpacing/>
        <w:jc w:val="both"/>
        <w:rPr>
          <w:rFonts w:eastAsia="MS Mincho"/>
          <w:sz w:val="20"/>
          <w:lang w:val="en-US" w:eastAsia="ko-KR"/>
        </w:rPr>
      </w:pPr>
      <w:r w:rsidRPr="0062747F">
        <w:rPr>
          <w:rFonts w:eastAsia="MS Mincho"/>
          <w:sz w:val="20"/>
          <w:lang w:val="en-US" w:eastAsia="ko-KR"/>
        </w:rPr>
        <w:t xml:space="preserve">TPMI 4 (likewise 5-7) indicates a PC </w:t>
      </w:r>
      <w:proofErr w:type="spellStart"/>
      <w:r w:rsidRPr="0062747F">
        <w:rPr>
          <w:rFonts w:eastAsia="MS Mincho"/>
          <w:sz w:val="20"/>
          <w:lang w:val="en-US" w:eastAsia="ko-KR"/>
        </w:rPr>
        <w:t>precoder</w:t>
      </w:r>
      <w:proofErr w:type="spellEnd"/>
      <w:r w:rsidRPr="0062747F">
        <w:rPr>
          <w:rFonts w:eastAsia="MS Mincho"/>
          <w:sz w:val="20"/>
          <w:lang w:val="en-US" w:eastAsia="ko-KR"/>
        </w:rPr>
        <w:t xml:space="preserve"> for UL transmission from antenna ports {0,2}. This can be mapped to panel 1 (selecting a first pair of 2 ports).</w:t>
      </w:r>
    </w:p>
    <w:p w14:paraId="33184950" w14:textId="77777777" w:rsidR="0062747F" w:rsidRPr="0062747F" w:rsidRDefault="0062747F" w:rsidP="0062747F">
      <w:pPr>
        <w:numPr>
          <w:ilvl w:val="1"/>
          <w:numId w:val="54"/>
        </w:numPr>
        <w:spacing w:after="60" w:line="288" w:lineRule="auto"/>
        <w:contextualSpacing/>
        <w:jc w:val="both"/>
        <w:rPr>
          <w:rFonts w:eastAsia="MS Mincho"/>
          <w:sz w:val="20"/>
          <w:lang w:val="en-US" w:eastAsia="ko-KR"/>
        </w:rPr>
      </w:pPr>
      <w:r w:rsidRPr="0062747F">
        <w:rPr>
          <w:rFonts w:eastAsia="MS Mincho"/>
          <w:sz w:val="20"/>
          <w:lang w:val="en-US" w:eastAsia="ko-KR"/>
        </w:rPr>
        <w:t xml:space="preserve">TPMI 8 (likewise 9-11) indicates a PC </w:t>
      </w:r>
      <w:proofErr w:type="spellStart"/>
      <w:r w:rsidRPr="0062747F">
        <w:rPr>
          <w:rFonts w:eastAsia="MS Mincho"/>
          <w:sz w:val="20"/>
          <w:lang w:val="en-US" w:eastAsia="ko-KR"/>
        </w:rPr>
        <w:t>precoder</w:t>
      </w:r>
      <w:proofErr w:type="spellEnd"/>
      <w:r w:rsidRPr="0062747F">
        <w:rPr>
          <w:rFonts w:eastAsia="MS Mincho"/>
          <w:sz w:val="20"/>
          <w:lang w:val="en-US" w:eastAsia="ko-KR"/>
        </w:rPr>
        <w:t xml:space="preserve"> for UL transmission from antenna ports {1,3}. This can be mapped to panel 2 (selecting a second pair of 2 ports).</w:t>
      </w:r>
    </w:p>
    <w:p w14:paraId="45C14A25" w14:textId="77777777" w:rsidR="0062747F" w:rsidRPr="0062747F" w:rsidRDefault="0062747F" w:rsidP="0062747F">
      <w:pPr>
        <w:numPr>
          <w:ilvl w:val="0"/>
          <w:numId w:val="54"/>
        </w:numPr>
        <w:spacing w:after="60" w:line="288" w:lineRule="auto"/>
        <w:contextualSpacing/>
        <w:jc w:val="both"/>
        <w:rPr>
          <w:rFonts w:eastAsia="MS Mincho"/>
          <w:sz w:val="20"/>
          <w:lang w:val="en-US" w:eastAsia="ko-KR"/>
        </w:rPr>
      </w:pPr>
      <w:r w:rsidRPr="0062747F">
        <w:rPr>
          <w:rFonts w:eastAsia="MS Mincho"/>
          <w:sz w:val="20"/>
          <w:lang w:val="en-US" w:eastAsia="ko-KR"/>
        </w:rPr>
        <w:t xml:space="preserve">For a NC UE, </w:t>
      </w:r>
    </w:p>
    <w:p w14:paraId="234648BE" w14:textId="77777777" w:rsidR="0062747F" w:rsidRPr="0062747F" w:rsidRDefault="0062747F" w:rsidP="0062747F">
      <w:pPr>
        <w:numPr>
          <w:ilvl w:val="1"/>
          <w:numId w:val="54"/>
        </w:numPr>
        <w:spacing w:after="60" w:line="288" w:lineRule="auto"/>
        <w:contextualSpacing/>
        <w:jc w:val="both"/>
        <w:rPr>
          <w:rFonts w:eastAsia="MS Mincho"/>
          <w:sz w:val="20"/>
          <w:lang w:val="en-US" w:eastAsia="ko-KR"/>
        </w:rPr>
      </w:pPr>
      <w:r w:rsidRPr="0062747F">
        <w:rPr>
          <w:rFonts w:eastAsia="MS Mincho"/>
          <w:sz w:val="20"/>
          <w:lang w:val="en-US" w:eastAsia="ko-KR"/>
        </w:rPr>
        <w:t xml:space="preserve">TPMI 0 indicates a NC </w:t>
      </w:r>
      <w:proofErr w:type="spellStart"/>
      <w:r w:rsidRPr="0062747F">
        <w:rPr>
          <w:rFonts w:eastAsia="MS Mincho"/>
          <w:sz w:val="20"/>
          <w:lang w:val="en-US" w:eastAsia="ko-KR"/>
        </w:rPr>
        <w:t>precoder</w:t>
      </w:r>
      <w:proofErr w:type="spellEnd"/>
      <w:r w:rsidRPr="0062747F">
        <w:rPr>
          <w:rFonts w:eastAsia="MS Mincho"/>
          <w:sz w:val="20"/>
          <w:lang w:val="en-US" w:eastAsia="ko-KR"/>
        </w:rPr>
        <w:t xml:space="preserve"> for UL transmission from antenna port 0. This can be mapped to panel 1 (selecting a first port).</w:t>
      </w:r>
    </w:p>
    <w:p w14:paraId="5A617458" w14:textId="77777777" w:rsidR="0062747F" w:rsidRPr="0062747F" w:rsidRDefault="0062747F" w:rsidP="0062747F">
      <w:pPr>
        <w:numPr>
          <w:ilvl w:val="1"/>
          <w:numId w:val="54"/>
        </w:numPr>
        <w:spacing w:after="60" w:line="288" w:lineRule="auto"/>
        <w:contextualSpacing/>
        <w:jc w:val="both"/>
        <w:rPr>
          <w:rFonts w:eastAsia="MS Mincho"/>
          <w:sz w:val="20"/>
          <w:lang w:val="en-US" w:eastAsia="ko-KR"/>
        </w:rPr>
      </w:pPr>
      <w:r w:rsidRPr="0062747F">
        <w:rPr>
          <w:rFonts w:eastAsia="MS Mincho"/>
          <w:sz w:val="20"/>
          <w:lang w:val="en-US" w:eastAsia="ko-KR"/>
        </w:rPr>
        <w:t xml:space="preserve">TPMI 1 indicates a NC </w:t>
      </w:r>
      <w:proofErr w:type="spellStart"/>
      <w:r w:rsidRPr="0062747F">
        <w:rPr>
          <w:rFonts w:eastAsia="MS Mincho"/>
          <w:sz w:val="20"/>
          <w:lang w:val="en-US" w:eastAsia="ko-KR"/>
        </w:rPr>
        <w:t>precoder</w:t>
      </w:r>
      <w:proofErr w:type="spellEnd"/>
      <w:r w:rsidRPr="0062747F">
        <w:rPr>
          <w:rFonts w:eastAsia="MS Mincho"/>
          <w:sz w:val="20"/>
          <w:lang w:val="en-US" w:eastAsia="ko-KR"/>
        </w:rPr>
        <w:t xml:space="preserve"> for UL transmission from antenna port 1. This can be mapped to panel 2 (selecting a second port).</w:t>
      </w:r>
    </w:p>
    <w:p w14:paraId="67B92D35" w14:textId="77777777" w:rsidR="0062747F" w:rsidRPr="0062747F" w:rsidRDefault="0062747F" w:rsidP="0062747F">
      <w:pPr>
        <w:numPr>
          <w:ilvl w:val="1"/>
          <w:numId w:val="54"/>
        </w:numPr>
        <w:spacing w:after="60" w:line="288" w:lineRule="auto"/>
        <w:contextualSpacing/>
        <w:jc w:val="both"/>
        <w:rPr>
          <w:rFonts w:eastAsia="MS Mincho"/>
          <w:sz w:val="20"/>
          <w:lang w:val="en-US" w:eastAsia="ko-KR"/>
        </w:rPr>
      </w:pPr>
      <w:r w:rsidRPr="0062747F">
        <w:rPr>
          <w:rFonts w:eastAsia="MS Mincho"/>
          <w:sz w:val="20"/>
          <w:lang w:val="en-US" w:eastAsia="ko-KR"/>
        </w:rPr>
        <w:t xml:space="preserve">TPMI 2 indicates a NC </w:t>
      </w:r>
      <w:proofErr w:type="spellStart"/>
      <w:r w:rsidRPr="0062747F">
        <w:rPr>
          <w:rFonts w:eastAsia="MS Mincho"/>
          <w:sz w:val="20"/>
          <w:lang w:val="en-US" w:eastAsia="ko-KR"/>
        </w:rPr>
        <w:t>precoder</w:t>
      </w:r>
      <w:proofErr w:type="spellEnd"/>
      <w:r w:rsidRPr="0062747F">
        <w:rPr>
          <w:rFonts w:eastAsia="MS Mincho"/>
          <w:sz w:val="20"/>
          <w:lang w:val="en-US" w:eastAsia="ko-KR"/>
        </w:rPr>
        <w:t xml:space="preserve"> for UL transmission from antenna port 2. This can be mapped to panel 3 (selecting a third port).</w:t>
      </w:r>
    </w:p>
    <w:p w14:paraId="460830E8" w14:textId="77777777" w:rsidR="0062747F" w:rsidRPr="0062747F" w:rsidRDefault="0062747F" w:rsidP="0062747F">
      <w:pPr>
        <w:numPr>
          <w:ilvl w:val="1"/>
          <w:numId w:val="54"/>
        </w:numPr>
        <w:spacing w:after="60" w:line="288" w:lineRule="auto"/>
        <w:contextualSpacing/>
        <w:jc w:val="both"/>
        <w:rPr>
          <w:rFonts w:eastAsia="MS Mincho"/>
          <w:sz w:val="20"/>
          <w:lang w:val="en-US" w:eastAsia="ko-KR"/>
        </w:rPr>
      </w:pPr>
      <w:r w:rsidRPr="0062747F">
        <w:rPr>
          <w:rFonts w:eastAsia="MS Mincho"/>
          <w:sz w:val="20"/>
          <w:lang w:val="en-US" w:eastAsia="ko-KR"/>
        </w:rPr>
        <w:t xml:space="preserve">TPMI 3 indicates a NC </w:t>
      </w:r>
      <w:proofErr w:type="spellStart"/>
      <w:r w:rsidRPr="0062747F">
        <w:rPr>
          <w:rFonts w:eastAsia="MS Mincho"/>
          <w:sz w:val="20"/>
          <w:lang w:val="en-US" w:eastAsia="ko-KR"/>
        </w:rPr>
        <w:t>precoder</w:t>
      </w:r>
      <w:proofErr w:type="spellEnd"/>
      <w:r w:rsidRPr="0062747F">
        <w:rPr>
          <w:rFonts w:eastAsia="MS Mincho"/>
          <w:sz w:val="20"/>
          <w:lang w:val="en-US" w:eastAsia="ko-KR"/>
        </w:rPr>
        <w:t xml:space="preserve"> for UL transmission from antenna port 3. This can be mapped to panel 4 (selecting a fourth port).</w:t>
      </w:r>
    </w:p>
    <w:p w14:paraId="43490847" w14:textId="37A4F98C" w:rsidR="0062747F" w:rsidRPr="0062747F" w:rsidRDefault="0062747F" w:rsidP="0062747F">
      <w:pPr>
        <w:keepNext/>
        <w:spacing w:before="120" w:after="120"/>
        <w:jc w:val="center"/>
        <w:rPr>
          <w:rFonts w:eastAsia="MS Mincho"/>
          <w:b/>
          <w:sz w:val="20"/>
        </w:rPr>
      </w:pPr>
      <w:bookmarkStart w:id="8" w:name="_Ref83743175"/>
      <w:r w:rsidRPr="0062747F">
        <w:rPr>
          <w:rFonts w:eastAsia="MS Mincho"/>
          <w:b/>
          <w:sz w:val="20"/>
        </w:rPr>
        <w:t xml:space="preserve">Table </w:t>
      </w:r>
      <w:r w:rsidRPr="0062747F">
        <w:rPr>
          <w:rFonts w:eastAsia="MS Mincho"/>
          <w:b/>
          <w:sz w:val="20"/>
        </w:rPr>
        <w:fldChar w:fldCharType="begin"/>
      </w:r>
      <w:r w:rsidRPr="0062747F">
        <w:rPr>
          <w:rFonts w:eastAsia="MS Mincho"/>
          <w:b/>
          <w:sz w:val="20"/>
        </w:rPr>
        <w:instrText xml:space="preserve"> SEQ Table \* ARABIC </w:instrText>
      </w:r>
      <w:r w:rsidRPr="0062747F">
        <w:rPr>
          <w:rFonts w:eastAsia="MS Mincho"/>
          <w:b/>
          <w:sz w:val="20"/>
        </w:rPr>
        <w:fldChar w:fldCharType="separate"/>
      </w:r>
      <w:r w:rsidR="006C7E7E">
        <w:rPr>
          <w:rFonts w:eastAsia="MS Mincho"/>
          <w:b/>
          <w:noProof/>
          <w:sz w:val="20"/>
        </w:rPr>
        <w:t>1</w:t>
      </w:r>
      <w:r w:rsidRPr="0062747F">
        <w:rPr>
          <w:rFonts w:eastAsia="MS Mincho"/>
          <w:b/>
          <w:sz w:val="20"/>
        </w:rPr>
        <w:fldChar w:fldCharType="end"/>
      </w:r>
      <w:bookmarkEnd w:id="8"/>
    </w:p>
    <w:tbl>
      <w:tblPr>
        <w:tblStyle w:val="TableGrid10"/>
        <w:tblW w:w="0" w:type="auto"/>
        <w:jc w:val="center"/>
        <w:tblLook w:val="04A0" w:firstRow="1" w:lastRow="0" w:firstColumn="1" w:lastColumn="0" w:noHBand="0" w:noVBand="1"/>
      </w:tblPr>
      <w:tblGrid>
        <w:gridCol w:w="1466"/>
        <w:gridCol w:w="2249"/>
        <w:gridCol w:w="3116"/>
      </w:tblGrid>
      <w:tr w:rsidR="0062747F" w:rsidRPr="0062747F" w14:paraId="2A05B03A" w14:textId="77777777" w:rsidTr="00A9566E">
        <w:trPr>
          <w:jc w:val="center"/>
        </w:trPr>
        <w:tc>
          <w:tcPr>
            <w:tcW w:w="0" w:type="auto"/>
            <w:vAlign w:val="center"/>
          </w:tcPr>
          <w:p w14:paraId="63CF5705" w14:textId="77777777" w:rsidR="0062747F" w:rsidRPr="0062747F" w:rsidRDefault="0062747F" w:rsidP="0062747F">
            <w:pPr>
              <w:jc w:val="both"/>
              <w:rPr>
                <w:rFonts w:eastAsia="MS Mincho"/>
                <w:sz w:val="20"/>
                <w:lang w:val="en-US" w:eastAsia="ko-KR"/>
              </w:rPr>
            </w:pPr>
            <w:r w:rsidRPr="0062747F">
              <w:rPr>
                <w:rFonts w:eastAsia="MS Mincho"/>
                <w:sz w:val="20"/>
                <w:lang w:val="en-US" w:eastAsia="ko-KR"/>
              </w:rPr>
              <w:t>Coherence type</w:t>
            </w:r>
          </w:p>
        </w:tc>
        <w:tc>
          <w:tcPr>
            <w:tcW w:w="0" w:type="auto"/>
            <w:vAlign w:val="center"/>
          </w:tcPr>
          <w:p w14:paraId="244A42BE" w14:textId="77777777" w:rsidR="0062747F" w:rsidRPr="0062747F" w:rsidRDefault="0062747F" w:rsidP="0062747F">
            <w:pPr>
              <w:jc w:val="both"/>
              <w:rPr>
                <w:rFonts w:eastAsia="MS Mincho"/>
                <w:sz w:val="20"/>
                <w:lang w:val="en-US" w:eastAsia="ko-KR"/>
              </w:rPr>
            </w:pPr>
            <w:r w:rsidRPr="0062747F">
              <w:rPr>
                <w:rFonts w:eastAsia="MS Mincho"/>
                <w:sz w:val="20"/>
                <w:lang w:val="en-US" w:eastAsia="ko-KR"/>
              </w:rPr>
              <w:t xml:space="preserve">TPMI </w:t>
            </w:r>
            <w:proofErr w:type="spellStart"/>
            <w:r w:rsidRPr="0062747F">
              <w:rPr>
                <w:rFonts w:eastAsia="MS Mincho"/>
                <w:sz w:val="20"/>
                <w:lang w:val="en-US" w:eastAsia="ko-KR"/>
              </w:rPr>
              <w:t>precoder</w:t>
            </w:r>
            <w:proofErr w:type="spellEnd"/>
          </w:p>
        </w:tc>
        <w:tc>
          <w:tcPr>
            <w:tcW w:w="0" w:type="auto"/>
            <w:vAlign w:val="center"/>
          </w:tcPr>
          <w:p w14:paraId="4FEF4A64" w14:textId="77777777" w:rsidR="0062747F" w:rsidRPr="0062747F" w:rsidRDefault="0062747F" w:rsidP="0062747F">
            <w:pPr>
              <w:jc w:val="both"/>
              <w:rPr>
                <w:rFonts w:eastAsia="MS Mincho"/>
                <w:sz w:val="20"/>
                <w:lang w:val="en-US" w:eastAsia="ko-KR"/>
              </w:rPr>
            </w:pPr>
            <w:r w:rsidRPr="0062747F">
              <w:rPr>
                <w:rFonts w:eastAsia="MS Mincho"/>
                <w:sz w:val="20"/>
                <w:lang w:val="en-US" w:eastAsia="ko-KR"/>
              </w:rPr>
              <w:t>Antenna port grouping (or panels)</w:t>
            </w:r>
          </w:p>
        </w:tc>
      </w:tr>
      <w:tr w:rsidR="0062747F" w:rsidRPr="0062747F" w14:paraId="205FC9B1" w14:textId="77777777" w:rsidTr="00A9566E">
        <w:trPr>
          <w:jc w:val="center"/>
        </w:trPr>
        <w:tc>
          <w:tcPr>
            <w:tcW w:w="0" w:type="auto"/>
            <w:vAlign w:val="center"/>
          </w:tcPr>
          <w:p w14:paraId="37466901" w14:textId="77777777" w:rsidR="0062747F" w:rsidRPr="0062747F" w:rsidRDefault="0062747F" w:rsidP="0062747F">
            <w:pPr>
              <w:jc w:val="both"/>
              <w:rPr>
                <w:rFonts w:eastAsia="MS Mincho"/>
                <w:sz w:val="20"/>
                <w:lang w:val="en-US" w:eastAsia="ko-KR"/>
              </w:rPr>
            </w:pPr>
            <w:r w:rsidRPr="0062747F">
              <w:rPr>
                <w:rFonts w:eastAsia="MS Mincho"/>
                <w:sz w:val="20"/>
                <w:lang w:val="en-US" w:eastAsia="ko-KR"/>
              </w:rPr>
              <w:lastRenderedPageBreak/>
              <w:t>FC</w:t>
            </w:r>
          </w:p>
        </w:tc>
        <w:tc>
          <w:tcPr>
            <w:tcW w:w="0" w:type="auto"/>
            <w:vAlign w:val="center"/>
          </w:tcPr>
          <w:p w14:paraId="23370D3A" w14:textId="77777777" w:rsidR="0062747F" w:rsidRPr="0062747F" w:rsidRDefault="0062747F" w:rsidP="0062747F">
            <w:pPr>
              <w:jc w:val="both"/>
              <w:rPr>
                <w:rFonts w:eastAsia="MS Mincho"/>
                <w:sz w:val="20"/>
                <w:lang w:val="en-US" w:eastAsia="ko-KR"/>
              </w:rPr>
            </w:pPr>
            <w:r w:rsidRPr="0062747F">
              <w:rPr>
                <w:rFonts w:eastAsia="Times New Roman"/>
                <w:sz w:val="18"/>
              </w:rPr>
              <w:t xml:space="preserve">TPMI 12: </w:t>
            </w:r>
            <w:r w:rsidRPr="0062747F">
              <w:rPr>
                <w:rFonts w:eastAsia="Times New Roman"/>
                <w:position w:val="-56"/>
                <w:sz w:val="18"/>
              </w:rPr>
              <w:object w:dxaOrig="480" w:dyaOrig="1219" w14:anchorId="0F7E104A">
                <v:shape id="_x0000_i1031" type="#_x0000_t75" style="width:24pt;height:61.2pt" o:ole="">
                  <v:imagedata r:id="rId18" o:title=""/>
                </v:shape>
                <o:OLEObject Type="Embed" ProgID="Equation.3" ShapeID="_x0000_i1031" DrawAspect="Content" ObjectID="_1706350780" r:id="rId19"/>
              </w:object>
            </w:r>
          </w:p>
        </w:tc>
        <w:tc>
          <w:tcPr>
            <w:tcW w:w="0" w:type="auto"/>
            <w:vAlign w:val="center"/>
          </w:tcPr>
          <w:p w14:paraId="120336F3" w14:textId="77777777" w:rsidR="0062747F" w:rsidRPr="0062747F" w:rsidRDefault="0062747F" w:rsidP="0062747F">
            <w:pPr>
              <w:jc w:val="both"/>
              <w:rPr>
                <w:rFonts w:eastAsia="MS Mincho"/>
                <w:sz w:val="20"/>
                <w:lang w:val="en-US" w:eastAsia="ko-KR"/>
              </w:rPr>
            </w:pPr>
            <w:r w:rsidRPr="0062747F">
              <w:rPr>
                <w:rFonts w:eastAsia="MS Mincho"/>
                <w:sz w:val="20"/>
                <w:lang w:val="en-US"/>
              </w:rPr>
              <w:object w:dxaOrig="1273" w:dyaOrig="3204" w14:anchorId="7243945D">
                <v:shape id="_x0000_i1032" type="#_x0000_t75" style="width:31.2pt;height:79.2pt" o:ole="">
                  <v:imagedata r:id="rId20" o:title=""/>
                </v:shape>
                <o:OLEObject Type="Embed" ProgID="Visio.Drawing.15" ShapeID="_x0000_i1032" DrawAspect="Content" ObjectID="_1706350781" r:id="rId21"/>
              </w:object>
            </w:r>
          </w:p>
        </w:tc>
      </w:tr>
      <w:tr w:rsidR="0062747F" w:rsidRPr="0062747F" w14:paraId="5C591F5A" w14:textId="77777777" w:rsidTr="00A9566E">
        <w:trPr>
          <w:jc w:val="center"/>
        </w:trPr>
        <w:tc>
          <w:tcPr>
            <w:tcW w:w="0" w:type="auto"/>
            <w:vAlign w:val="center"/>
          </w:tcPr>
          <w:p w14:paraId="15C954BC" w14:textId="77777777" w:rsidR="0062747F" w:rsidRPr="0062747F" w:rsidRDefault="0062747F" w:rsidP="0062747F">
            <w:pPr>
              <w:jc w:val="both"/>
              <w:rPr>
                <w:rFonts w:eastAsia="MS Mincho"/>
                <w:sz w:val="20"/>
                <w:lang w:val="en-US" w:eastAsia="ko-KR"/>
              </w:rPr>
            </w:pPr>
            <w:r w:rsidRPr="0062747F">
              <w:rPr>
                <w:rFonts w:eastAsia="MS Mincho"/>
                <w:sz w:val="20"/>
                <w:lang w:val="en-US" w:eastAsia="ko-KR"/>
              </w:rPr>
              <w:t>PC</w:t>
            </w:r>
          </w:p>
        </w:tc>
        <w:tc>
          <w:tcPr>
            <w:tcW w:w="0" w:type="auto"/>
            <w:vAlign w:val="center"/>
          </w:tcPr>
          <w:p w14:paraId="67C46412" w14:textId="77777777" w:rsidR="0062747F" w:rsidRPr="0062747F" w:rsidRDefault="0062747F" w:rsidP="0062747F">
            <w:pPr>
              <w:jc w:val="both"/>
              <w:rPr>
                <w:rFonts w:eastAsia="Times New Roman"/>
                <w:sz w:val="18"/>
              </w:rPr>
            </w:pPr>
            <w:r w:rsidRPr="0062747F">
              <w:rPr>
                <w:rFonts w:eastAsia="Times New Roman"/>
                <w:sz w:val="18"/>
              </w:rPr>
              <w:t>TPMI 4 and 8:</w:t>
            </w:r>
          </w:p>
          <w:p w14:paraId="743FF415" w14:textId="77777777" w:rsidR="0062747F" w:rsidRPr="0062747F" w:rsidRDefault="0062747F" w:rsidP="0062747F">
            <w:pPr>
              <w:jc w:val="both"/>
              <w:rPr>
                <w:rFonts w:eastAsia="MS Mincho"/>
                <w:sz w:val="20"/>
                <w:lang w:val="en-US" w:eastAsia="ko-KR"/>
              </w:rPr>
            </w:pPr>
            <w:r w:rsidRPr="0062747F">
              <w:rPr>
                <w:rFonts w:eastAsia="Times New Roman"/>
                <w:sz w:val="18"/>
              </w:rPr>
              <w:object w:dxaOrig="520" w:dyaOrig="1219" w14:anchorId="259F9771">
                <v:shape id="_x0000_i1033" type="#_x0000_t75" style="width:25.2pt;height:61.2pt" o:ole="">
                  <v:imagedata r:id="rId22" o:title=""/>
                </v:shape>
                <o:OLEObject Type="Embed" ProgID="Equation.3" ShapeID="_x0000_i1033" DrawAspect="Content" ObjectID="_1706350782" r:id="rId23"/>
              </w:object>
            </w:r>
            <w:r w:rsidRPr="0062747F">
              <w:rPr>
                <w:rFonts w:eastAsia="Times New Roman"/>
                <w:sz w:val="18"/>
              </w:rPr>
              <w:object w:dxaOrig="520" w:dyaOrig="1219" w14:anchorId="76819401">
                <v:shape id="_x0000_i1034" type="#_x0000_t75" style="width:25.2pt;height:61.2pt" o:ole="">
                  <v:imagedata r:id="rId24" o:title=""/>
                </v:shape>
                <o:OLEObject Type="Embed" ProgID="Equation.3" ShapeID="_x0000_i1034" DrawAspect="Content" ObjectID="_1706350783" r:id="rId25"/>
              </w:object>
            </w:r>
          </w:p>
        </w:tc>
        <w:tc>
          <w:tcPr>
            <w:tcW w:w="0" w:type="auto"/>
            <w:vAlign w:val="center"/>
          </w:tcPr>
          <w:p w14:paraId="5483B8E6" w14:textId="77777777" w:rsidR="0062747F" w:rsidRPr="0062747F" w:rsidRDefault="0062747F" w:rsidP="0062747F">
            <w:pPr>
              <w:jc w:val="both"/>
              <w:rPr>
                <w:rFonts w:eastAsia="MS Mincho"/>
                <w:sz w:val="20"/>
                <w:lang w:val="en-US" w:eastAsia="ko-KR"/>
              </w:rPr>
            </w:pPr>
            <w:r w:rsidRPr="0062747F">
              <w:rPr>
                <w:rFonts w:eastAsia="MS Mincho"/>
                <w:sz w:val="20"/>
                <w:lang w:val="en-US"/>
              </w:rPr>
              <w:object w:dxaOrig="2604" w:dyaOrig="3313" w14:anchorId="6417CEEA">
                <v:shape id="_x0000_i1035" type="#_x0000_t75" style="width:73.2pt;height:93.6pt" o:ole="">
                  <v:imagedata r:id="rId26" o:title=""/>
                </v:shape>
                <o:OLEObject Type="Embed" ProgID="Visio.Drawing.15" ShapeID="_x0000_i1035" DrawAspect="Content" ObjectID="_1706350784" r:id="rId27"/>
              </w:object>
            </w:r>
          </w:p>
        </w:tc>
      </w:tr>
      <w:tr w:rsidR="0062747F" w:rsidRPr="0062747F" w14:paraId="386C6E1F" w14:textId="77777777" w:rsidTr="00A9566E">
        <w:trPr>
          <w:jc w:val="center"/>
        </w:trPr>
        <w:tc>
          <w:tcPr>
            <w:tcW w:w="0" w:type="auto"/>
            <w:vAlign w:val="center"/>
          </w:tcPr>
          <w:p w14:paraId="6214AAB1" w14:textId="77777777" w:rsidR="0062747F" w:rsidRPr="0062747F" w:rsidRDefault="0062747F" w:rsidP="0062747F">
            <w:pPr>
              <w:jc w:val="both"/>
              <w:rPr>
                <w:rFonts w:eastAsia="MS Mincho"/>
                <w:sz w:val="20"/>
                <w:lang w:val="en-US" w:eastAsia="ko-KR"/>
              </w:rPr>
            </w:pPr>
            <w:r w:rsidRPr="0062747F">
              <w:rPr>
                <w:rFonts w:eastAsia="MS Mincho"/>
                <w:sz w:val="20"/>
                <w:lang w:val="en-US" w:eastAsia="ko-KR"/>
              </w:rPr>
              <w:t>NC</w:t>
            </w:r>
          </w:p>
        </w:tc>
        <w:tc>
          <w:tcPr>
            <w:tcW w:w="0" w:type="auto"/>
            <w:vAlign w:val="center"/>
          </w:tcPr>
          <w:p w14:paraId="4DE530D3" w14:textId="77777777" w:rsidR="0062747F" w:rsidRPr="0062747F" w:rsidRDefault="0062747F" w:rsidP="0062747F">
            <w:pPr>
              <w:jc w:val="both"/>
              <w:rPr>
                <w:rFonts w:eastAsia="Times New Roman"/>
                <w:sz w:val="18"/>
              </w:rPr>
            </w:pPr>
            <w:r w:rsidRPr="0062747F">
              <w:rPr>
                <w:rFonts w:eastAsia="Times New Roman"/>
                <w:sz w:val="18"/>
              </w:rPr>
              <w:t>TPMI 0-3:</w:t>
            </w:r>
          </w:p>
          <w:p w14:paraId="6C8EF766" w14:textId="77777777" w:rsidR="0062747F" w:rsidRPr="0062747F" w:rsidRDefault="0062747F" w:rsidP="0062747F">
            <w:pPr>
              <w:jc w:val="both"/>
              <w:rPr>
                <w:rFonts w:eastAsia="MS Mincho"/>
                <w:sz w:val="20"/>
                <w:lang w:val="en-US" w:eastAsia="ko-KR"/>
              </w:rPr>
            </w:pPr>
            <w:r w:rsidRPr="0062747F">
              <w:rPr>
                <w:rFonts w:eastAsia="Times New Roman"/>
                <w:sz w:val="18"/>
              </w:rPr>
              <w:object w:dxaOrig="520" w:dyaOrig="1219" w14:anchorId="0069DE39">
                <v:shape id="_x0000_i1036" type="#_x0000_t75" style="width:25.2pt;height:61.2pt" o:ole="">
                  <v:imagedata r:id="rId28" o:title=""/>
                </v:shape>
                <o:OLEObject Type="Embed" ProgID="Equation.3" ShapeID="_x0000_i1036" DrawAspect="Content" ObjectID="_1706350785" r:id="rId29"/>
              </w:object>
            </w:r>
            <w:r w:rsidRPr="0062747F">
              <w:rPr>
                <w:rFonts w:eastAsia="Times New Roman"/>
                <w:sz w:val="18"/>
              </w:rPr>
              <w:object w:dxaOrig="520" w:dyaOrig="1219" w14:anchorId="787EE3CE">
                <v:shape id="_x0000_i1037" type="#_x0000_t75" style="width:25.2pt;height:61.2pt" o:ole="">
                  <v:imagedata r:id="rId30" o:title=""/>
                </v:shape>
                <o:OLEObject Type="Embed" ProgID="Equation.3" ShapeID="_x0000_i1037" DrawAspect="Content" ObjectID="_1706350786" r:id="rId31"/>
              </w:object>
            </w:r>
            <w:r w:rsidRPr="0062747F">
              <w:rPr>
                <w:rFonts w:eastAsia="Times New Roman"/>
                <w:sz w:val="18"/>
              </w:rPr>
              <w:object w:dxaOrig="520" w:dyaOrig="1219" w14:anchorId="36F65165">
                <v:shape id="_x0000_i1038" type="#_x0000_t75" style="width:25.2pt;height:61.2pt" o:ole="">
                  <v:imagedata r:id="rId32" o:title=""/>
                </v:shape>
                <o:OLEObject Type="Embed" ProgID="Equation.3" ShapeID="_x0000_i1038" DrawAspect="Content" ObjectID="_1706350787" r:id="rId33"/>
              </w:object>
            </w:r>
            <w:r w:rsidRPr="0062747F">
              <w:rPr>
                <w:rFonts w:eastAsia="Times New Roman"/>
                <w:sz w:val="18"/>
              </w:rPr>
              <w:object w:dxaOrig="520" w:dyaOrig="1219" w14:anchorId="229D65C9">
                <v:shape id="_x0000_i1039" type="#_x0000_t75" style="width:25.2pt;height:61.2pt" o:ole="">
                  <v:imagedata r:id="rId34" o:title=""/>
                </v:shape>
                <o:OLEObject Type="Embed" ProgID="Equation.3" ShapeID="_x0000_i1039" DrawAspect="Content" ObjectID="_1706350788" r:id="rId35"/>
              </w:object>
            </w:r>
          </w:p>
        </w:tc>
        <w:tc>
          <w:tcPr>
            <w:tcW w:w="0" w:type="auto"/>
            <w:vAlign w:val="center"/>
          </w:tcPr>
          <w:p w14:paraId="43B601B6" w14:textId="77777777" w:rsidR="0062747F" w:rsidRPr="0062747F" w:rsidRDefault="0062747F" w:rsidP="0062747F">
            <w:pPr>
              <w:jc w:val="both"/>
              <w:rPr>
                <w:rFonts w:eastAsia="MS Mincho"/>
                <w:sz w:val="20"/>
                <w:lang w:val="en-US" w:eastAsia="ko-KR"/>
              </w:rPr>
            </w:pPr>
            <w:r w:rsidRPr="0062747F">
              <w:rPr>
                <w:rFonts w:eastAsia="MS Mincho"/>
                <w:sz w:val="20"/>
                <w:lang w:val="en-US"/>
              </w:rPr>
              <w:object w:dxaOrig="5389" w:dyaOrig="3313" w14:anchorId="0B569E8C">
                <v:shape id="_x0000_i1040" type="#_x0000_t75" style="width:145.2pt;height:89.4pt" o:ole="">
                  <v:imagedata r:id="rId36" o:title=""/>
                </v:shape>
                <o:OLEObject Type="Embed" ProgID="Visio.Drawing.15" ShapeID="_x0000_i1040" DrawAspect="Content" ObjectID="_1706350789" r:id="rId37"/>
              </w:object>
            </w:r>
          </w:p>
        </w:tc>
      </w:tr>
    </w:tbl>
    <w:p w14:paraId="32C96E49" w14:textId="77777777" w:rsidR="0062747F" w:rsidRPr="0062747F" w:rsidRDefault="0062747F" w:rsidP="0062747F">
      <w:pPr>
        <w:spacing w:after="60" w:line="288" w:lineRule="auto"/>
        <w:jc w:val="both"/>
        <w:rPr>
          <w:rFonts w:eastAsia="MS Mincho"/>
          <w:sz w:val="20"/>
          <w:lang w:val="en-US" w:eastAsia="ko-KR"/>
        </w:rPr>
      </w:pPr>
    </w:p>
    <w:p w14:paraId="7498A3E2" w14:textId="77777777" w:rsidR="0062747F" w:rsidRPr="0062747F" w:rsidRDefault="0062747F" w:rsidP="0062747F">
      <w:pPr>
        <w:spacing w:after="60" w:line="288" w:lineRule="auto"/>
        <w:jc w:val="both"/>
        <w:rPr>
          <w:rFonts w:eastAsia="MS Mincho"/>
          <w:sz w:val="20"/>
          <w:lang w:val="en-US" w:eastAsia="ko-KR"/>
        </w:rPr>
      </w:pPr>
      <w:r w:rsidRPr="0062747F">
        <w:rPr>
          <w:rFonts w:eastAsia="MS Mincho"/>
          <w:sz w:val="20"/>
          <w:lang w:val="en-US" w:eastAsia="ko-KR"/>
        </w:rPr>
        <w:t>Therefore, the beam report can include an information about the coherence type(s) or/and TPMI(s) to indicate the number of selected antenna ports, where</w:t>
      </w:r>
    </w:p>
    <w:p w14:paraId="1ED40C3D" w14:textId="77777777" w:rsidR="0062747F" w:rsidRPr="0062747F" w:rsidRDefault="0062747F" w:rsidP="0062747F">
      <w:pPr>
        <w:numPr>
          <w:ilvl w:val="0"/>
          <w:numId w:val="55"/>
        </w:numPr>
        <w:spacing w:after="60" w:line="288" w:lineRule="auto"/>
        <w:contextualSpacing/>
        <w:jc w:val="both"/>
        <w:rPr>
          <w:rFonts w:eastAsia="MS Mincho"/>
          <w:sz w:val="20"/>
          <w:lang w:val="en-US" w:eastAsia="ko-KR"/>
        </w:rPr>
      </w:pPr>
      <w:r w:rsidRPr="0062747F">
        <w:rPr>
          <w:rFonts w:eastAsia="MS Mincho"/>
          <w:sz w:val="20"/>
          <w:lang w:val="en-US" w:eastAsia="ko-KR"/>
        </w:rPr>
        <w:t>Coherence types(s) correspond to at least one of full-coherent, partial-coherent, and non-coherent</w:t>
      </w:r>
    </w:p>
    <w:p w14:paraId="47E652CE" w14:textId="77777777" w:rsidR="0062747F" w:rsidRPr="0062747F" w:rsidRDefault="0062747F" w:rsidP="0062747F">
      <w:pPr>
        <w:numPr>
          <w:ilvl w:val="0"/>
          <w:numId w:val="55"/>
        </w:numPr>
        <w:spacing w:after="60" w:line="288" w:lineRule="auto"/>
        <w:contextualSpacing/>
        <w:jc w:val="both"/>
        <w:rPr>
          <w:rFonts w:eastAsia="MS Mincho"/>
          <w:sz w:val="20"/>
          <w:lang w:val="en-US" w:eastAsia="ko-KR"/>
        </w:rPr>
      </w:pPr>
      <w:r w:rsidRPr="0062747F">
        <w:rPr>
          <w:rFonts w:eastAsia="MS Mincho"/>
          <w:sz w:val="20"/>
          <w:lang w:val="en-US" w:eastAsia="ko-KR"/>
        </w:rPr>
        <w:t>TPMI(s) correspond to at least one of FC TPMI, PC TPMI, and NC TPMI (from UL codebook)</w:t>
      </w:r>
    </w:p>
    <w:p w14:paraId="6A039016" w14:textId="77777777" w:rsidR="0062747F" w:rsidRPr="0062747F" w:rsidRDefault="0062747F" w:rsidP="0062747F">
      <w:pPr>
        <w:numPr>
          <w:ilvl w:val="0"/>
          <w:numId w:val="55"/>
        </w:numPr>
        <w:spacing w:after="60" w:line="288" w:lineRule="auto"/>
        <w:contextualSpacing/>
        <w:jc w:val="both"/>
        <w:rPr>
          <w:rFonts w:eastAsia="MS Mincho"/>
          <w:sz w:val="20"/>
          <w:lang w:val="en-US" w:eastAsia="ko-KR"/>
        </w:rPr>
      </w:pPr>
      <w:r w:rsidRPr="0062747F">
        <w:rPr>
          <w:rFonts w:eastAsia="MS Mincho"/>
          <w:sz w:val="20"/>
          <w:lang w:val="en-US" w:eastAsia="ko-KR"/>
        </w:rPr>
        <w:t>FC selects all antenna ports, PC selects 2 antenna ports, and NC selects 1 antenna port.</w:t>
      </w:r>
    </w:p>
    <w:p w14:paraId="25BB815F" w14:textId="4AD95D3B" w:rsidR="0062747F" w:rsidRPr="0062747F" w:rsidRDefault="00A9566E" w:rsidP="0062747F">
      <w:pPr>
        <w:spacing w:after="60" w:line="288" w:lineRule="auto"/>
        <w:jc w:val="both"/>
        <w:rPr>
          <w:rFonts w:eastAsia="MS Mincho"/>
          <w:sz w:val="20"/>
          <w:lang w:val="en-US" w:eastAsia="ko-KR"/>
        </w:rPr>
      </w:pPr>
      <w:r>
        <w:rPr>
          <w:rFonts w:eastAsia="MS Mincho"/>
          <w:sz w:val="20"/>
          <w:lang w:val="en-US" w:eastAsia="ko-KR"/>
        </w:rPr>
        <w:t>The</w:t>
      </w:r>
      <w:r w:rsidR="005E4304">
        <w:rPr>
          <w:rFonts w:eastAsia="MS Mincho"/>
          <w:sz w:val="20"/>
          <w:lang w:val="en-US" w:eastAsia="ko-KR"/>
        </w:rPr>
        <w:t xml:space="preserve"> enhanced capability value set can in addition include</w:t>
      </w:r>
      <w:r>
        <w:rPr>
          <w:rFonts w:eastAsia="MS Mincho"/>
          <w:sz w:val="20"/>
          <w:lang w:val="en-US" w:eastAsia="ko-KR"/>
        </w:rPr>
        <w:t xml:space="preserve"> </w:t>
      </w:r>
      <w:r w:rsidR="005E4304">
        <w:rPr>
          <w:rFonts w:eastAsia="MS Mincho"/>
          <w:sz w:val="20"/>
          <w:lang w:val="en-US" w:eastAsia="ko-KR"/>
        </w:rPr>
        <w:t xml:space="preserve">the </w:t>
      </w:r>
      <w:r>
        <w:rPr>
          <w:rFonts w:eastAsia="MS Mincho"/>
          <w:sz w:val="20"/>
          <w:lang w:val="en-US" w:eastAsia="ko-KR"/>
        </w:rPr>
        <w:t>Rel. 17 capability type (i.e. the max supported</w:t>
      </w:r>
      <w:r w:rsidR="0062747F" w:rsidRPr="0062747F">
        <w:rPr>
          <w:rFonts w:eastAsia="MS Mincho"/>
          <w:sz w:val="20"/>
          <w:lang w:val="en-US" w:eastAsia="ko-KR"/>
        </w:rPr>
        <w:t xml:space="preserve"> # SRS ports</w:t>
      </w:r>
      <w:r>
        <w:rPr>
          <w:rFonts w:eastAsia="MS Mincho"/>
          <w:sz w:val="20"/>
          <w:lang w:val="en-US" w:eastAsia="ko-KR"/>
        </w:rPr>
        <w:t>)</w:t>
      </w:r>
      <w:r w:rsidR="0062747F" w:rsidRPr="0062747F">
        <w:rPr>
          <w:rFonts w:eastAsia="MS Mincho"/>
          <w:sz w:val="20"/>
          <w:lang w:val="en-US" w:eastAsia="ko-KR"/>
        </w:rPr>
        <w:t>.</w:t>
      </w:r>
    </w:p>
    <w:p w14:paraId="551F4F96" w14:textId="77777777" w:rsidR="005E4304" w:rsidRDefault="005E4304" w:rsidP="0062747F">
      <w:pPr>
        <w:spacing w:after="60" w:line="288" w:lineRule="auto"/>
        <w:jc w:val="both"/>
        <w:rPr>
          <w:rFonts w:eastAsia="MS Mincho"/>
          <w:sz w:val="20"/>
          <w:lang w:val="en-US" w:eastAsia="ko-KR"/>
        </w:rPr>
      </w:pPr>
    </w:p>
    <w:p w14:paraId="3D9E2EE3" w14:textId="56389E57" w:rsidR="0062747F" w:rsidRPr="0062747F" w:rsidRDefault="0062747F" w:rsidP="0062747F">
      <w:pPr>
        <w:spacing w:after="60" w:line="288" w:lineRule="auto"/>
        <w:jc w:val="both"/>
        <w:rPr>
          <w:rFonts w:eastAsia="MS Mincho"/>
          <w:sz w:val="20"/>
          <w:lang w:val="en-US" w:eastAsia="ko-KR"/>
        </w:rPr>
      </w:pPr>
      <w:r w:rsidRPr="0062747F">
        <w:rPr>
          <w:rFonts w:eastAsia="MS Mincho"/>
          <w:sz w:val="20"/>
          <w:lang w:val="en-US" w:eastAsia="ko-KR"/>
        </w:rPr>
        <w:t>Finally, the alignment between the SRS resource set (S) for SRI indication and the index reported by the UE can be based the number of antenna ports selected/indicated by the coherence type or/and TPMI reported by the index. For instance, when the index corresponds to FC, the number of antenna ports can be 4 and hence can be aligned with a SRS resource set with 4 SRS antenna ports. Likewise, when the index corresponds to PC, the number of antenna ports can be 2 and hence can be aligned with a SRS resource set with 2 SRS antenna ports; and when the index corresponds to NC, the number of antenna ports can be 1 and hence can be aligned with a SRS resource set with 1 SRS antenna port.</w:t>
      </w:r>
    </w:p>
    <w:p w14:paraId="78798B89" w14:textId="77777777" w:rsidR="0062747F" w:rsidRPr="0062747F" w:rsidRDefault="0062747F" w:rsidP="0062747F">
      <w:pPr>
        <w:spacing w:after="60" w:line="288" w:lineRule="auto"/>
        <w:jc w:val="both"/>
        <w:rPr>
          <w:rFonts w:eastAsia="MS Mincho"/>
          <w:sz w:val="20"/>
          <w:lang w:val="en-US" w:eastAsia="ko-KR"/>
        </w:rPr>
      </w:pPr>
    </w:p>
    <w:p w14:paraId="69EAF523" w14:textId="677C1019" w:rsidR="0062747F" w:rsidRPr="00361C47" w:rsidRDefault="0062747F" w:rsidP="0062747F">
      <w:pPr>
        <w:spacing w:after="60" w:line="288" w:lineRule="auto"/>
        <w:jc w:val="both"/>
        <w:rPr>
          <w:rFonts w:eastAsia="MS Mincho"/>
          <w:i/>
          <w:sz w:val="20"/>
          <w:lang w:val="en-US" w:eastAsia="ko-KR"/>
        </w:rPr>
      </w:pPr>
      <w:r w:rsidRPr="0062747F">
        <w:rPr>
          <w:rFonts w:eastAsia="MS Mincho"/>
          <w:b/>
          <w:i/>
          <w:sz w:val="20"/>
          <w:lang w:val="en-US" w:eastAsia="ko-KR"/>
        </w:rPr>
        <w:t xml:space="preserve">Proposal </w:t>
      </w:r>
      <w:r w:rsidR="005E4304">
        <w:rPr>
          <w:rFonts w:eastAsia="MS Mincho"/>
          <w:b/>
          <w:i/>
          <w:sz w:val="20"/>
          <w:lang w:val="en-US" w:eastAsia="ko-KR"/>
        </w:rPr>
        <w:t>6</w:t>
      </w:r>
      <w:r w:rsidRPr="0062747F">
        <w:rPr>
          <w:rFonts w:eastAsia="MS Mincho"/>
          <w:b/>
          <w:i/>
          <w:sz w:val="20"/>
          <w:lang w:val="en-US" w:eastAsia="ko-KR"/>
        </w:rPr>
        <w:t xml:space="preserve">: </w:t>
      </w:r>
      <w:r w:rsidRPr="00361C47">
        <w:rPr>
          <w:rFonts w:eastAsia="MS Mincho"/>
          <w:i/>
          <w:sz w:val="20"/>
          <w:lang w:val="en-US" w:eastAsia="ko-KR"/>
        </w:rPr>
        <w:t>For panel activation/selection,</w:t>
      </w:r>
      <w:r w:rsidR="005E4304" w:rsidRPr="00361C47">
        <w:rPr>
          <w:rFonts w:eastAsia="MS Mincho"/>
          <w:i/>
          <w:sz w:val="20"/>
          <w:lang w:val="en-US" w:eastAsia="ko-KR"/>
        </w:rPr>
        <w:t xml:space="preserve"> study the following enhancement</w:t>
      </w:r>
      <w:r w:rsidRPr="00361C47">
        <w:rPr>
          <w:rFonts w:eastAsia="MS Mincho"/>
          <w:i/>
          <w:sz w:val="20"/>
          <w:lang w:val="en-US" w:eastAsia="ko-KR"/>
        </w:rPr>
        <w:t xml:space="preserve"> </w:t>
      </w:r>
    </w:p>
    <w:p w14:paraId="75CB2EFB" w14:textId="4288A86D" w:rsidR="0062747F" w:rsidRPr="00361C47" w:rsidRDefault="005E4304" w:rsidP="0062747F">
      <w:pPr>
        <w:numPr>
          <w:ilvl w:val="0"/>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Enhanced capability type includes coherence type or TPMI</w:t>
      </w:r>
    </w:p>
    <w:p w14:paraId="3667455E" w14:textId="537EE9D6" w:rsidR="0062747F" w:rsidRPr="00361C47" w:rsidRDefault="005E4304" w:rsidP="0062747F">
      <w:pPr>
        <w:numPr>
          <w:ilvl w:val="0"/>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B</w:t>
      </w:r>
      <w:r w:rsidR="0062747F" w:rsidRPr="00361C47">
        <w:rPr>
          <w:rFonts w:eastAsia="MS Mincho"/>
          <w:i/>
          <w:sz w:val="20"/>
          <w:lang w:val="en-US" w:eastAsia="ko-KR"/>
        </w:rPr>
        <w:t>eam report includes an information about the coherence type(s) or/and TPMI(s)</w:t>
      </w:r>
    </w:p>
    <w:p w14:paraId="32DCE929" w14:textId="77777777" w:rsidR="0062747F" w:rsidRPr="00361C47" w:rsidRDefault="0062747F" w:rsidP="0062747F">
      <w:pPr>
        <w:numPr>
          <w:ilvl w:val="1"/>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 xml:space="preserve">coherence types(s) correspond to at least one of full-coherent, partial-coherent, and non-coherent </w:t>
      </w:r>
    </w:p>
    <w:p w14:paraId="5FE9A4B5" w14:textId="77777777" w:rsidR="0062747F" w:rsidRPr="00361C47" w:rsidRDefault="0062747F" w:rsidP="0062747F">
      <w:pPr>
        <w:numPr>
          <w:ilvl w:val="1"/>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TPMI(s) correspond to at least one of FC TPMI, PC TPMI, and NC TPMI (from UL codebook)</w:t>
      </w:r>
    </w:p>
    <w:p w14:paraId="2160934A" w14:textId="77777777" w:rsidR="0062747F" w:rsidRPr="00361C47" w:rsidRDefault="0062747F" w:rsidP="0062747F">
      <w:pPr>
        <w:numPr>
          <w:ilvl w:val="1"/>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reuse Rel.15 definitions: FC selects all antenna ports, PC selects 2 antenna ports, and NC selects 1 antenna port</w:t>
      </w:r>
    </w:p>
    <w:p w14:paraId="1B6D67FB" w14:textId="77777777" w:rsidR="0062747F" w:rsidRPr="00361C47" w:rsidRDefault="0062747F" w:rsidP="0062747F">
      <w:pPr>
        <w:numPr>
          <w:ilvl w:val="0"/>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regarding alignment between SRS resource set (S) for SRI and the index reported by the UE</w:t>
      </w:r>
    </w:p>
    <w:p w14:paraId="4F3AC8D9" w14:textId="77777777" w:rsidR="0062747F" w:rsidRPr="00361C47" w:rsidRDefault="0062747F" w:rsidP="0062747F">
      <w:pPr>
        <w:numPr>
          <w:ilvl w:val="1"/>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when index indicates FC, S = SRS resource set with 4 port SRS resources</w:t>
      </w:r>
    </w:p>
    <w:p w14:paraId="1D37FD4F" w14:textId="77777777" w:rsidR="0062747F" w:rsidRPr="00361C47" w:rsidRDefault="0062747F" w:rsidP="0062747F">
      <w:pPr>
        <w:numPr>
          <w:ilvl w:val="1"/>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when index indicates PC, S = SRS resource set with 2 port SRS resources</w:t>
      </w:r>
    </w:p>
    <w:p w14:paraId="6A313B97" w14:textId="07FD7653" w:rsidR="00086187" w:rsidRPr="005E4304" w:rsidRDefault="0062747F" w:rsidP="00361C47">
      <w:pPr>
        <w:pStyle w:val="0Maintext"/>
        <w:numPr>
          <w:ilvl w:val="1"/>
          <w:numId w:val="56"/>
        </w:numPr>
        <w:spacing w:after="0" w:afterAutospacing="0" w:line="240" w:lineRule="auto"/>
        <w:rPr>
          <w:lang w:val="en-US"/>
        </w:rPr>
      </w:pPr>
      <w:r w:rsidRPr="00361C47">
        <w:rPr>
          <w:rFonts w:eastAsia="MS Mincho" w:cs="Times New Roman"/>
          <w:i/>
          <w:lang w:val="en-US" w:eastAsia="ko-KR"/>
        </w:rPr>
        <w:t>when index indicates NC, S = SRS resource set with 1 port SRS resources</w:t>
      </w:r>
    </w:p>
    <w:p w14:paraId="7DC800C5" w14:textId="77777777" w:rsidR="00086187" w:rsidRPr="001C10A1" w:rsidRDefault="00086187" w:rsidP="00086187">
      <w:pPr>
        <w:pStyle w:val="0Maintext"/>
        <w:spacing w:after="0" w:afterAutospacing="0" w:line="240" w:lineRule="auto"/>
        <w:ind w:firstLine="0"/>
        <w:rPr>
          <w:u w:val="single"/>
          <w:lang w:val="en-US"/>
        </w:rPr>
      </w:pPr>
    </w:p>
    <w:p w14:paraId="1715E8B2" w14:textId="67341A58" w:rsidR="00086187" w:rsidRDefault="00086187" w:rsidP="00361C47">
      <w:pPr>
        <w:pStyle w:val="01Section1"/>
        <w:numPr>
          <w:ilvl w:val="0"/>
          <w:numId w:val="0"/>
        </w:numPr>
        <w:spacing w:before="0"/>
        <w:rPr>
          <w:lang w:val="en-US"/>
        </w:rPr>
      </w:pPr>
    </w:p>
    <w:p w14:paraId="4FCD40B8" w14:textId="11848BF2" w:rsidR="00BE549F" w:rsidRPr="00F27612" w:rsidRDefault="00CC20ED" w:rsidP="00BE549F">
      <w:pPr>
        <w:pStyle w:val="01Section1"/>
        <w:spacing w:before="0"/>
        <w:rPr>
          <w:lang w:val="en-US"/>
        </w:rPr>
      </w:pPr>
      <w:r>
        <w:rPr>
          <w:lang w:val="en-US"/>
        </w:rPr>
        <w:t>Conclusion</w:t>
      </w:r>
    </w:p>
    <w:p w14:paraId="1038AC3D" w14:textId="77777777" w:rsidR="00BE549F" w:rsidRPr="001C10A1" w:rsidRDefault="00981DD8" w:rsidP="007877EE">
      <w:pPr>
        <w:pStyle w:val="0Maintext"/>
        <w:spacing w:after="0" w:afterAutospacing="0" w:line="240" w:lineRule="auto"/>
        <w:ind w:firstLine="450"/>
        <w:rPr>
          <w:lang w:val="en-US"/>
        </w:rPr>
      </w:pPr>
      <w:r w:rsidRPr="001C10A1">
        <w:rPr>
          <w:lang w:val="en-US"/>
        </w:rPr>
        <w:t>In this contribution, the following observation</w:t>
      </w:r>
      <w:r w:rsidR="00A44355" w:rsidRPr="001C10A1">
        <w:rPr>
          <w:lang w:val="en-US"/>
        </w:rPr>
        <w:t>s</w:t>
      </w:r>
      <w:r w:rsidRPr="001C10A1">
        <w:rPr>
          <w:lang w:val="en-US"/>
        </w:rPr>
        <w:t xml:space="preserve"> and proposal</w:t>
      </w:r>
      <w:r w:rsidR="006847A3" w:rsidRPr="001C10A1">
        <w:rPr>
          <w:lang w:val="en-US"/>
        </w:rPr>
        <w:t>s</w:t>
      </w:r>
      <w:r w:rsidRPr="001C10A1">
        <w:rPr>
          <w:lang w:val="en-US"/>
        </w:rPr>
        <w:t xml:space="preserve"> are </w:t>
      </w:r>
      <w:r w:rsidR="007877EE" w:rsidRPr="001C10A1">
        <w:rPr>
          <w:lang w:val="en-US"/>
        </w:rPr>
        <w:t>made</w:t>
      </w:r>
      <w:r w:rsidRPr="001C10A1">
        <w:rPr>
          <w:lang w:val="en-US"/>
        </w:rPr>
        <w:t xml:space="preserve">: </w:t>
      </w:r>
    </w:p>
    <w:p w14:paraId="69344805" w14:textId="77777777" w:rsidR="007877EE" w:rsidRPr="001C10A1" w:rsidRDefault="007877EE" w:rsidP="007877EE">
      <w:pPr>
        <w:pStyle w:val="0Maintext"/>
        <w:spacing w:after="0" w:afterAutospacing="0" w:line="240" w:lineRule="auto"/>
        <w:ind w:firstLine="0"/>
        <w:rPr>
          <w:u w:val="single"/>
          <w:lang w:val="en-US"/>
        </w:rPr>
      </w:pPr>
    </w:p>
    <w:p w14:paraId="4ED520CD" w14:textId="22B3FCAB" w:rsidR="00DA12D7" w:rsidRPr="001C10A1" w:rsidRDefault="00DA12D7" w:rsidP="00DA12D7">
      <w:pPr>
        <w:spacing w:after="60" w:line="288" w:lineRule="auto"/>
        <w:jc w:val="both"/>
        <w:rPr>
          <w:b/>
          <w:i/>
          <w:sz w:val="20"/>
          <w:lang w:eastAsia="ko-KR"/>
        </w:rPr>
      </w:pPr>
      <w:r w:rsidRPr="001C10A1">
        <w:rPr>
          <w:b/>
          <w:i/>
          <w:sz w:val="20"/>
          <w:lang w:eastAsia="ko-KR"/>
        </w:rPr>
        <w:t xml:space="preserve">Observation </w:t>
      </w:r>
      <w:r w:rsidR="006C7E7E">
        <w:rPr>
          <w:b/>
          <w:i/>
          <w:sz w:val="20"/>
          <w:lang w:eastAsia="ko-KR"/>
        </w:rPr>
        <w:t>1</w:t>
      </w:r>
      <w:r w:rsidRPr="001C10A1">
        <w:rPr>
          <w:b/>
          <w:i/>
          <w:sz w:val="20"/>
          <w:lang w:eastAsia="ko-KR"/>
        </w:rPr>
        <w:t xml:space="preserve">: </w:t>
      </w:r>
      <w:r w:rsidRPr="001C10A1">
        <w:rPr>
          <w:i/>
          <w:sz w:val="20"/>
          <w:lang w:eastAsia="ko-KR"/>
        </w:rPr>
        <w:t>Group-based beam indication based on group-based mobility can reduce overhead, power consumption, and latency while also improving reliability.</w:t>
      </w:r>
    </w:p>
    <w:p w14:paraId="7E011FD8" w14:textId="6DF0F94B" w:rsidR="00DA12D7" w:rsidRPr="001C10A1" w:rsidRDefault="00DA12D7" w:rsidP="00DA12D7">
      <w:pPr>
        <w:spacing w:after="60" w:line="288" w:lineRule="auto"/>
        <w:rPr>
          <w:b/>
          <w:i/>
          <w:sz w:val="20"/>
          <w:lang w:eastAsia="ko-KR"/>
        </w:rPr>
      </w:pPr>
      <w:r w:rsidRPr="001C10A1">
        <w:rPr>
          <w:b/>
          <w:i/>
          <w:sz w:val="20"/>
          <w:lang w:eastAsia="ko-KR"/>
        </w:rPr>
        <w:t xml:space="preserve">Observation </w:t>
      </w:r>
      <w:r w:rsidR="006C7E7E">
        <w:rPr>
          <w:b/>
          <w:i/>
          <w:sz w:val="20"/>
          <w:lang w:eastAsia="ko-KR"/>
        </w:rPr>
        <w:t>2</w:t>
      </w:r>
      <w:r w:rsidRPr="001C10A1">
        <w:rPr>
          <w:b/>
          <w:i/>
          <w:sz w:val="20"/>
          <w:lang w:eastAsia="ko-KR"/>
        </w:rPr>
        <w:t xml:space="preserve">: </w:t>
      </w:r>
      <w:r w:rsidRPr="001C10A1">
        <w:rPr>
          <w:i/>
          <w:sz w:val="20"/>
          <w:lang w:eastAsia="ko-KR"/>
        </w:rPr>
        <w:t>UE-group beam indication can utilize a wider beam for beam indication to a group of UEs in close proximity.</w:t>
      </w:r>
    </w:p>
    <w:p w14:paraId="49B2CB81" w14:textId="5098B5E5" w:rsidR="00DA12D7" w:rsidRPr="001C10A1" w:rsidRDefault="00DA12D7" w:rsidP="00DA12D7">
      <w:pPr>
        <w:spacing w:after="60" w:line="288" w:lineRule="auto"/>
        <w:jc w:val="both"/>
        <w:rPr>
          <w:i/>
          <w:sz w:val="20"/>
        </w:rPr>
      </w:pPr>
      <w:r w:rsidRPr="001C10A1">
        <w:rPr>
          <w:b/>
          <w:i/>
          <w:sz w:val="20"/>
        </w:rPr>
        <w:t xml:space="preserve">Observation </w:t>
      </w:r>
      <w:r w:rsidR="006C7E7E">
        <w:rPr>
          <w:b/>
          <w:i/>
          <w:sz w:val="20"/>
        </w:rPr>
        <w:t>3</w:t>
      </w:r>
      <w:r w:rsidRPr="001C10A1">
        <w:rPr>
          <w:b/>
          <w:i/>
          <w:sz w:val="20"/>
        </w:rPr>
        <w:t xml:space="preserve">: </w:t>
      </w:r>
      <w:r w:rsidRPr="001C10A1">
        <w:rPr>
          <w:i/>
          <w:sz w:val="20"/>
        </w:rPr>
        <w:t>Two-part beam indication can reduce UEs decoding complexity and air interface overhead.</w:t>
      </w:r>
    </w:p>
    <w:p w14:paraId="6989DB16" w14:textId="0D86F194" w:rsidR="00DA12D7" w:rsidRPr="001C10A1" w:rsidRDefault="00DA12D7" w:rsidP="00DA12D7">
      <w:pPr>
        <w:spacing w:after="60" w:line="288" w:lineRule="auto"/>
        <w:jc w:val="both"/>
        <w:rPr>
          <w:b/>
          <w:i/>
          <w:iCs/>
          <w:sz w:val="20"/>
        </w:rPr>
      </w:pPr>
      <w:r w:rsidRPr="001C10A1">
        <w:rPr>
          <w:b/>
          <w:i/>
          <w:iCs/>
          <w:sz w:val="20"/>
        </w:rPr>
        <w:t xml:space="preserve">Observation </w:t>
      </w:r>
      <w:r w:rsidR="006C7E7E">
        <w:rPr>
          <w:b/>
          <w:i/>
          <w:iCs/>
          <w:sz w:val="20"/>
        </w:rPr>
        <w:t>4</w:t>
      </w:r>
      <w:r w:rsidRPr="001C10A1">
        <w:rPr>
          <w:b/>
          <w:i/>
          <w:iCs/>
          <w:sz w:val="20"/>
        </w:rPr>
        <w:t xml:space="preserve">: </w:t>
      </w:r>
      <w:r w:rsidRPr="001C10A1">
        <w:rPr>
          <w:i/>
          <w:iCs/>
          <w:sz w:val="20"/>
        </w:rPr>
        <w:t>The traditional beam management procedure of triggering a reference signal, measuring and reporting the beam metrics based on the reference signal and beam indication based on the measurements, can be a slow procedure in high speed scenarios, thus degrading performance.</w:t>
      </w:r>
    </w:p>
    <w:p w14:paraId="6FE8475F" w14:textId="0CEE7703" w:rsidR="00DA12D7" w:rsidRPr="001C10A1" w:rsidRDefault="00DA12D7" w:rsidP="00DA12D7">
      <w:pPr>
        <w:spacing w:after="60" w:line="288" w:lineRule="auto"/>
        <w:jc w:val="both"/>
        <w:rPr>
          <w:b/>
          <w:i/>
          <w:iCs/>
          <w:sz w:val="20"/>
        </w:rPr>
      </w:pPr>
      <w:r w:rsidRPr="001C10A1">
        <w:rPr>
          <w:b/>
          <w:i/>
          <w:iCs/>
          <w:sz w:val="20"/>
        </w:rPr>
        <w:t xml:space="preserve">Observation </w:t>
      </w:r>
      <w:r w:rsidR="006C7E7E">
        <w:rPr>
          <w:b/>
          <w:i/>
          <w:iCs/>
          <w:sz w:val="20"/>
        </w:rPr>
        <w:t>5</w:t>
      </w:r>
      <w:r w:rsidRPr="001C10A1">
        <w:rPr>
          <w:b/>
          <w:i/>
          <w:iCs/>
          <w:sz w:val="20"/>
        </w:rPr>
        <w:t xml:space="preserve">: </w:t>
      </w:r>
      <w:r w:rsidRPr="001C10A1">
        <w:rPr>
          <w:i/>
          <w:iCs/>
          <w:sz w:val="20"/>
        </w:rPr>
        <w:t xml:space="preserve">For UEs moving along a known trajectory, network can be predicate future multi-path profiles and signal the corresponding TCI states ahead of time with an activation time. This reduces latency to switch to a new beam, and reduces beam indication overhead by </w:t>
      </w:r>
      <w:proofErr w:type="spellStart"/>
      <w:r w:rsidRPr="001C10A1">
        <w:rPr>
          <w:i/>
          <w:iCs/>
          <w:sz w:val="20"/>
        </w:rPr>
        <w:t>signaling</w:t>
      </w:r>
      <w:proofErr w:type="spellEnd"/>
      <w:r w:rsidRPr="001C10A1">
        <w:rPr>
          <w:i/>
          <w:iCs/>
          <w:sz w:val="20"/>
        </w:rPr>
        <w:t xml:space="preserve"> multiple TCI states in the same message.</w:t>
      </w:r>
    </w:p>
    <w:p w14:paraId="5F884E53" w14:textId="33586311" w:rsidR="00DA12D7" w:rsidRPr="001C10A1" w:rsidRDefault="00DA12D7" w:rsidP="00DA12D7">
      <w:pPr>
        <w:spacing w:after="60" w:line="288" w:lineRule="auto"/>
        <w:jc w:val="both"/>
        <w:rPr>
          <w:b/>
          <w:i/>
          <w:iCs/>
          <w:sz w:val="20"/>
        </w:rPr>
      </w:pPr>
      <w:r w:rsidRPr="001C10A1">
        <w:rPr>
          <w:b/>
          <w:i/>
          <w:iCs/>
          <w:sz w:val="20"/>
        </w:rPr>
        <w:t xml:space="preserve">Observation </w:t>
      </w:r>
      <w:r w:rsidR="006C7E7E">
        <w:rPr>
          <w:b/>
          <w:i/>
          <w:iCs/>
          <w:sz w:val="20"/>
        </w:rPr>
        <w:t>6</w:t>
      </w:r>
      <w:r w:rsidRPr="001C10A1">
        <w:rPr>
          <w:b/>
          <w:i/>
          <w:iCs/>
          <w:sz w:val="20"/>
        </w:rPr>
        <w:t>:</w:t>
      </w:r>
      <w:r w:rsidRPr="001C10A1">
        <w:rPr>
          <w:i/>
          <w:iCs/>
          <w:sz w:val="20"/>
        </w:rPr>
        <w:t xml:space="preserve"> Positioning information, can assist the network in building a multi-path profile map of the coverage area that assists in determining the TCI states of UEs passing through a spatial point</w:t>
      </w:r>
      <w:r w:rsidRPr="001C10A1">
        <w:rPr>
          <w:b/>
          <w:i/>
          <w:iCs/>
          <w:sz w:val="20"/>
        </w:rPr>
        <w:t>.</w:t>
      </w:r>
    </w:p>
    <w:p w14:paraId="4FBCE13F" w14:textId="77777777" w:rsidR="001C10A1" w:rsidRPr="001C10A1" w:rsidRDefault="001C10A1" w:rsidP="001C10A1">
      <w:pPr>
        <w:pStyle w:val="Style1"/>
        <w:spacing w:after="60"/>
        <w:ind w:firstLine="0"/>
        <w:contextualSpacing/>
        <w:rPr>
          <w:b/>
          <w:i/>
        </w:rPr>
      </w:pPr>
      <w:r w:rsidRPr="001C10A1">
        <w:rPr>
          <w:b/>
          <w:i/>
        </w:rPr>
        <w:t xml:space="preserve">Proposal 1: </w:t>
      </w:r>
      <w:r w:rsidRPr="001C10A1">
        <w:rPr>
          <w:i/>
        </w:rPr>
        <w:t>For the Rel-17 unified TCI framework, consider cross carrier beam indication based on the "carrier indicator field" in DCI Format 1_1 or DCI Format 1_2.</w:t>
      </w:r>
    </w:p>
    <w:p w14:paraId="7F665B1E" w14:textId="77777777" w:rsidR="001C10A1" w:rsidRPr="001C10A1" w:rsidRDefault="001C10A1" w:rsidP="001C10A1">
      <w:pPr>
        <w:spacing w:after="60" w:line="288" w:lineRule="auto"/>
        <w:jc w:val="both"/>
        <w:rPr>
          <w:i/>
          <w:sz w:val="20"/>
          <w:lang w:eastAsia="ko-KR"/>
        </w:rPr>
      </w:pPr>
      <w:r w:rsidRPr="001C10A1">
        <w:rPr>
          <w:b/>
          <w:i/>
          <w:sz w:val="20"/>
          <w:lang w:eastAsia="ko-KR"/>
        </w:rPr>
        <w:t xml:space="preserve">Proposal 2: </w:t>
      </w:r>
      <w:r w:rsidRPr="001C10A1">
        <w:rPr>
          <w:i/>
          <w:sz w:val="20"/>
          <w:lang w:eastAsia="ko-KR"/>
        </w:rPr>
        <w:t>"Beam alignment" if the PL-RS and spatial relation RS of a Joint or UL TCI state are not the same is defined as:</w:t>
      </w:r>
    </w:p>
    <w:p w14:paraId="14C29153" w14:textId="77777777" w:rsidR="001C10A1" w:rsidRPr="001C10A1" w:rsidRDefault="001C10A1" w:rsidP="001C10A1">
      <w:pPr>
        <w:pStyle w:val="ListParagraph"/>
        <w:numPr>
          <w:ilvl w:val="0"/>
          <w:numId w:val="52"/>
        </w:numPr>
        <w:spacing w:after="60" w:line="288" w:lineRule="auto"/>
        <w:ind w:leftChars="0"/>
        <w:contextualSpacing/>
        <w:jc w:val="both"/>
        <w:rPr>
          <w:i/>
          <w:sz w:val="20"/>
          <w:lang w:eastAsia="ko-KR"/>
        </w:rPr>
      </w:pPr>
      <w:r w:rsidRPr="001C10A1">
        <w:rPr>
          <w:i/>
          <w:sz w:val="20"/>
          <w:lang w:eastAsia="ko-KR"/>
        </w:rPr>
        <w:t>The PL-RS is identical to the QCL Type-D source RS or UL spatial relation RS of the spatial relation RS in the UL or (if applicable) joint TCI state.</w:t>
      </w:r>
    </w:p>
    <w:p w14:paraId="074DE7B6" w14:textId="77777777" w:rsidR="001C10A1" w:rsidRPr="001C10A1" w:rsidRDefault="001C10A1" w:rsidP="001C10A1">
      <w:pPr>
        <w:pStyle w:val="ListParagraph"/>
        <w:numPr>
          <w:ilvl w:val="0"/>
          <w:numId w:val="52"/>
        </w:numPr>
        <w:spacing w:after="60" w:line="288" w:lineRule="auto"/>
        <w:ind w:leftChars="0"/>
        <w:contextualSpacing/>
        <w:jc w:val="both"/>
        <w:rPr>
          <w:i/>
          <w:sz w:val="20"/>
          <w:lang w:eastAsia="ko-KR"/>
        </w:rPr>
      </w:pPr>
      <w:r w:rsidRPr="001C10A1">
        <w:rPr>
          <w:i/>
          <w:sz w:val="20"/>
          <w:lang w:eastAsia="ko-KR"/>
        </w:rPr>
        <w:t>The QCL Type-D source RS of PL-RS is identical to the spatial relation RS in the UL or (if applicable) joint TCI state.</w:t>
      </w:r>
    </w:p>
    <w:p w14:paraId="52BEDA54" w14:textId="77777777" w:rsidR="001C10A1" w:rsidRPr="001C10A1" w:rsidRDefault="001C10A1" w:rsidP="001C10A1">
      <w:pPr>
        <w:pStyle w:val="ListParagraph"/>
        <w:numPr>
          <w:ilvl w:val="0"/>
          <w:numId w:val="52"/>
        </w:numPr>
        <w:spacing w:after="60" w:line="288" w:lineRule="auto"/>
        <w:ind w:leftChars="0"/>
        <w:contextualSpacing/>
        <w:jc w:val="both"/>
        <w:rPr>
          <w:b/>
          <w:i/>
          <w:sz w:val="20"/>
          <w:lang w:eastAsia="ko-KR"/>
        </w:rPr>
      </w:pPr>
      <w:r w:rsidRPr="001C10A1">
        <w:rPr>
          <w:i/>
          <w:sz w:val="20"/>
          <w:lang w:eastAsia="ko-KR"/>
        </w:rPr>
        <w:t>The QCL Type-D source RS of PL-RS is identical to the QCL Type-D source RS or UL spatial relation RS of the spatial relation RS in the UL or (if applicable) joint TCI state.</w:t>
      </w:r>
    </w:p>
    <w:p w14:paraId="465EC2AC" w14:textId="793B8D3F" w:rsidR="00DA12D7" w:rsidRPr="001C10A1" w:rsidRDefault="00DA12D7" w:rsidP="00DA12D7">
      <w:pPr>
        <w:spacing w:after="60" w:line="288" w:lineRule="auto"/>
        <w:jc w:val="both"/>
        <w:rPr>
          <w:b/>
          <w:i/>
          <w:sz w:val="20"/>
          <w:lang w:eastAsia="ko-KR"/>
        </w:rPr>
      </w:pPr>
      <w:r w:rsidRPr="001C10A1">
        <w:rPr>
          <w:b/>
          <w:i/>
          <w:sz w:val="20"/>
          <w:lang w:eastAsia="ko-KR"/>
        </w:rPr>
        <w:t xml:space="preserve">Proposal </w:t>
      </w:r>
      <w:r w:rsidR="001C10A1" w:rsidRPr="001C10A1">
        <w:rPr>
          <w:b/>
          <w:i/>
          <w:sz w:val="20"/>
          <w:lang w:eastAsia="ko-KR"/>
        </w:rPr>
        <w:t>3</w:t>
      </w:r>
      <w:r w:rsidRPr="001C10A1">
        <w:rPr>
          <w:b/>
          <w:i/>
          <w:sz w:val="20"/>
          <w:lang w:eastAsia="ko-KR"/>
        </w:rPr>
        <w:t xml:space="preserve">: </w:t>
      </w:r>
      <w:r w:rsidRPr="001C10A1">
        <w:rPr>
          <w:i/>
          <w:sz w:val="20"/>
          <w:lang w:eastAsia="ko-KR"/>
        </w:rPr>
        <w:t>For better efficiency, study the support of UE-group DCI for TCI state indication. Where the DCI format includes TCI states for a group of UEs.</w:t>
      </w:r>
    </w:p>
    <w:p w14:paraId="28D204B2" w14:textId="2131222C" w:rsidR="00DA12D7" w:rsidRPr="001C10A1" w:rsidRDefault="00DA12D7" w:rsidP="00DA12D7">
      <w:pPr>
        <w:spacing w:after="60" w:line="288" w:lineRule="auto"/>
        <w:jc w:val="both"/>
        <w:rPr>
          <w:b/>
          <w:i/>
          <w:iCs/>
          <w:color w:val="000000" w:themeColor="text1"/>
          <w:sz w:val="20"/>
        </w:rPr>
      </w:pPr>
      <w:r w:rsidRPr="001C10A1">
        <w:rPr>
          <w:b/>
          <w:i/>
          <w:iCs/>
          <w:sz w:val="20"/>
        </w:rPr>
        <w:t xml:space="preserve">Proposal </w:t>
      </w:r>
      <w:r w:rsidR="001C10A1" w:rsidRPr="001C10A1">
        <w:rPr>
          <w:b/>
          <w:i/>
          <w:iCs/>
          <w:sz w:val="20"/>
        </w:rPr>
        <w:t>4</w:t>
      </w:r>
      <w:r w:rsidRPr="001C10A1">
        <w:rPr>
          <w:b/>
          <w:i/>
          <w:iCs/>
          <w:sz w:val="20"/>
        </w:rPr>
        <w:t xml:space="preserve">: </w:t>
      </w:r>
      <w:r w:rsidRPr="001C10A1">
        <w:rPr>
          <w:i/>
          <w:iCs/>
          <w:sz w:val="20"/>
        </w:rPr>
        <w:t>Study mechanisms to improve beam management during initial access.</w:t>
      </w:r>
    </w:p>
    <w:p w14:paraId="49D7C3D2" w14:textId="0212EFFE" w:rsidR="00DA12D7" w:rsidRPr="001C10A1" w:rsidRDefault="00DA12D7" w:rsidP="00DA12D7">
      <w:pPr>
        <w:spacing w:after="60" w:line="288" w:lineRule="auto"/>
        <w:jc w:val="both"/>
        <w:rPr>
          <w:sz w:val="20"/>
          <w:lang w:eastAsia="ko-KR"/>
        </w:rPr>
      </w:pPr>
      <w:r w:rsidRPr="001C10A1">
        <w:rPr>
          <w:b/>
          <w:i/>
          <w:iCs/>
          <w:sz w:val="20"/>
        </w:rPr>
        <w:t xml:space="preserve">Proposal </w:t>
      </w:r>
      <w:r w:rsidR="001C10A1" w:rsidRPr="001C10A1">
        <w:rPr>
          <w:b/>
          <w:i/>
          <w:iCs/>
          <w:sz w:val="20"/>
        </w:rPr>
        <w:t>5</w:t>
      </w:r>
      <w:r w:rsidRPr="001C10A1">
        <w:rPr>
          <w:b/>
          <w:i/>
          <w:iCs/>
          <w:sz w:val="20"/>
        </w:rPr>
        <w:t xml:space="preserve">: </w:t>
      </w:r>
      <w:r w:rsidRPr="001C10A1">
        <w:rPr>
          <w:i/>
          <w:iCs/>
          <w:sz w:val="20"/>
        </w:rPr>
        <w:t>Study mechanisms study predictive and positioning-assisted beam management schemes.</w:t>
      </w:r>
    </w:p>
    <w:p w14:paraId="7F22EE79" w14:textId="77777777" w:rsidR="005E4304" w:rsidRPr="00361C47" w:rsidRDefault="005E4304" w:rsidP="005E4304">
      <w:pPr>
        <w:spacing w:after="60" w:line="288" w:lineRule="auto"/>
        <w:jc w:val="both"/>
        <w:rPr>
          <w:rFonts w:eastAsia="MS Mincho"/>
          <w:i/>
          <w:sz w:val="20"/>
          <w:lang w:val="en-US" w:eastAsia="ko-KR"/>
        </w:rPr>
      </w:pPr>
      <w:r w:rsidRPr="0062747F">
        <w:rPr>
          <w:rFonts w:eastAsia="MS Mincho"/>
          <w:b/>
          <w:i/>
          <w:sz w:val="20"/>
          <w:lang w:val="en-US" w:eastAsia="ko-KR"/>
        </w:rPr>
        <w:t xml:space="preserve">Proposal </w:t>
      </w:r>
      <w:r>
        <w:rPr>
          <w:rFonts w:eastAsia="MS Mincho"/>
          <w:b/>
          <w:i/>
          <w:sz w:val="20"/>
          <w:lang w:val="en-US" w:eastAsia="ko-KR"/>
        </w:rPr>
        <w:t>6</w:t>
      </w:r>
      <w:r w:rsidRPr="0062747F">
        <w:rPr>
          <w:rFonts w:eastAsia="MS Mincho"/>
          <w:b/>
          <w:i/>
          <w:sz w:val="20"/>
          <w:lang w:val="en-US" w:eastAsia="ko-KR"/>
        </w:rPr>
        <w:t xml:space="preserve">: </w:t>
      </w:r>
      <w:r w:rsidRPr="00361C47">
        <w:rPr>
          <w:rFonts w:eastAsia="MS Mincho"/>
          <w:i/>
          <w:sz w:val="20"/>
          <w:lang w:val="en-US" w:eastAsia="ko-KR"/>
        </w:rPr>
        <w:t xml:space="preserve">For panel activation/selection, study the following enhancement </w:t>
      </w:r>
    </w:p>
    <w:p w14:paraId="7A2399CE" w14:textId="77777777" w:rsidR="005E4304" w:rsidRPr="00361C47" w:rsidRDefault="005E4304" w:rsidP="005E4304">
      <w:pPr>
        <w:numPr>
          <w:ilvl w:val="0"/>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Enhanced capability type includes coherence type or TPMI</w:t>
      </w:r>
    </w:p>
    <w:p w14:paraId="42D06BCC" w14:textId="77777777" w:rsidR="005E4304" w:rsidRPr="00361C47" w:rsidRDefault="005E4304" w:rsidP="005E4304">
      <w:pPr>
        <w:numPr>
          <w:ilvl w:val="0"/>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Beam report includes an information about the coherence type(s) or/and TPMI(s)</w:t>
      </w:r>
    </w:p>
    <w:p w14:paraId="50C4439B" w14:textId="77777777" w:rsidR="005E4304" w:rsidRPr="00361C47" w:rsidRDefault="005E4304" w:rsidP="005E4304">
      <w:pPr>
        <w:numPr>
          <w:ilvl w:val="1"/>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 xml:space="preserve">coherence types(s) correspond to at least one of full-coherent, partial-coherent, and non-coherent </w:t>
      </w:r>
    </w:p>
    <w:p w14:paraId="14626AA0" w14:textId="77777777" w:rsidR="005E4304" w:rsidRPr="00361C47" w:rsidRDefault="005E4304" w:rsidP="005E4304">
      <w:pPr>
        <w:numPr>
          <w:ilvl w:val="1"/>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TPMI(s) correspond to at least one of FC TPMI, PC TPMI, and NC TPMI (from UL codebook)</w:t>
      </w:r>
    </w:p>
    <w:p w14:paraId="1EA14362" w14:textId="77777777" w:rsidR="005E4304" w:rsidRPr="00361C47" w:rsidRDefault="005E4304" w:rsidP="005E4304">
      <w:pPr>
        <w:numPr>
          <w:ilvl w:val="1"/>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reuse Rel.15 definitions: FC selects all antenna ports, PC selects 2 antenna ports, and NC selects 1 antenna port</w:t>
      </w:r>
    </w:p>
    <w:p w14:paraId="2BA2D67A" w14:textId="77777777" w:rsidR="005E4304" w:rsidRPr="00361C47" w:rsidRDefault="005E4304" w:rsidP="005E4304">
      <w:pPr>
        <w:numPr>
          <w:ilvl w:val="0"/>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regarding alignment between SRS resource set (S) for SRI and the index reported by the UE</w:t>
      </w:r>
    </w:p>
    <w:p w14:paraId="210AD1ED" w14:textId="77777777" w:rsidR="005E4304" w:rsidRPr="00361C47" w:rsidRDefault="005E4304" w:rsidP="005E4304">
      <w:pPr>
        <w:numPr>
          <w:ilvl w:val="1"/>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when index indicates FC, S = SRS resource set with 4 port SRS resources</w:t>
      </w:r>
    </w:p>
    <w:p w14:paraId="37242F24" w14:textId="77777777" w:rsidR="005E4304" w:rsidRPr="00361C47" w:rsidRDefault="005E4304" w:rsidP="005E4304">
      <w:pPr>
        <w:numPr>
          <w:ilvl w:val="1"/>
          <w:numId w:val="56"/>
        </w:numPr>
        <w:spacing w:after="60" w:line="288" w:lineRule="auto"/>
        <w:contextualSpacing/>
        <w:jc w:val="both"/>
        <w:rPr>
          <w:rFonts w:eastAsia="MS Mincho"/>
          <w:i/>
          <w:sz w:val="20"/>
          <w:lang w:val="en-US" w:eastAsia="ko-KR"/>
        </w:rPr>
      </w:pPr>
      <w:r w:rsidRPr="00361C47">
        <w:rPr>
          <w:rFonts w:eastAsia="MS Mincho"/>
          <w:i/>
          <w:sz w:val="20"/>
          <w:lang w:val="en-US" w:eastAsia="ko-KR"/>
        </w:rPr>
        <w:t>when index indicates PC, S = SRS resource set with 2 port SRS resources</w:t>
      </w:r>
    </w:p>
    <w:p w14:paraId="02313AD8" w14:textId="77777777" w:rsidR="005E4304" w:rsidRPr="005E4304" w:rsidRDefault="005E4304" w:rsidP="005E4304">
      <w:pPr>
        <w:pStyle w:val="0Maintext"/>
        <w:numPr>
          <w:ilvl w:val="1"/>
          <w:numId w:val="56"/>
        </w:numPr>
        <w:spacing w:after="0" w:afterAutospacing="0" w:line="240" w:lineRule="auto"/>
        <w:rPr>
          <w:lang w:val="en-US"/>
        </w:rPr>
      </w:pPr>
      <w:r w:rsidRPr="00361C47">
        <w:rPr>
          <w:rFonts w:eastAsia="MS Mincho" w:cs="Times New Roman"/>
          <w:i/>
          <w:lang w:val="en-US" w:eastAsia="ko-KR"/>
        </w:rPr>
        <w:t>when index indicates NC, S = SRS resource set with 1 port SRS resources</w:t>
      </w:r>
    </w:p>
    <w:p w14:paraId="59AEA65B" w14:textId="0F69CB0D" w:rsidR="003111A6" w:rsidRDefault="003111A6" w:rsidP="007877EE">
      <w:pPr>
        <w:pStyle w:val="0Maintext"/>
        <w:spacing w:after="0" w:afterAutospacing="0" w:line="240" w:lineRule="auto"/>
        <w:ind w:firstLine="0"/>
        <w:rPr>
          <w:lang w:val="en-US"/>
        </w:rPr>
      </w:pPr>
    </w:p>
    <w:p w14:paraId="689F67D2" w14:textId="77777777" w:rsidR="00DA12D7" w:rsidRPr="00082D37" w:rsidRDefault="00DA12D7" w:rsidP="007877EE">
      <w:pPr>
        <w:pStyle w:val="0Maintext"/>
        <w:spacing w:after="0" w:afterAutospacing="0" w:line="240" w:lineRule="auto"/>
        <w:ind w:firstLine="0"/>
        <w:rPr>
          <w:lang w:val="en-US"/>
        </w:rPr>
      </w:pPr>
    </w:p>
    <w:p w14:paraId="1C30C595" w14:textId="77777777" w:rsidR="000F762B" w:rsidRPr="00082D37" w:rsidRDefault="000F762B" w:rsidP="00FB6F1A">
      <w:pPr>
        <w:pStyle w:val="Heading1"/>
        <w:spacing w:before="0"/>
        <w:jc w:val="both"/>
        <w:rPr>
          <w:lang w:val="en-US"/>
        </w:rPr>
      </w:pPr>
      <w:r w:rsidRPr="00082D37">
        <w:rPr>
          <w:lang w:val="en-US"/>
        </w:rPr>
        <w:t>References</w:t>
      </w:r>
    </w:p>
    <w:p w14:paraId="2C8CF99A" w14:textId="144A85FC" w:rsidR="001F202C" w:rsidRPr="001F202C" w:rsidRDefault="001F202C" w:rsidP="001F202C">
      <w:pPr>
        <w:pStyle w:val="2222"/>
        <w:numPr>
          <w:ilvl w:val="0"/>
          <w:numId w:val="5"/>
        </w:numPr>
        <w:spacing w:after="120" w:line="288" w:lineRule="auto"/>
        <w:ind w:firstLineChars="0"/>
        <w:rPr>
          <w:sz w:val="20"/>
          <w:lang w:val="en-US" w:eastAsia="ko-KR"/>
        </w:rPr>
      </w:pPr>
      <w:bookmarkStart w:id="9" w:name="_Ref31989388"/>
      <w:bookmarkStart w:id="10" w:name="_Ref526288974"/>
      <w:bookmarkStart w:id="11" w:name="_Ref78983900"/>
      <w:r w:rsidRPr="001F202C">
        <w:rPr>
          <w:sz w:val="20"/>
          <w:lang w:val="en-US" w:eastAsia="ko-KR"/>
        </w:rPr>
        <w:t>RP-211586, “Revised WID: Further enhancements on MIMO for NR,” e-Meeting, June 2021.</w:t>
      </w:r>
      <w:bookmarkEnd w:id="11"/>
    </w:p>
    <w:p w14:paraId="1B0CA3B3" w14:textId="77777777" w:rsidR="00F36BEA" w:rsidRDefault="00F36BEA" w:rsidP="001F202C">
      <w:pPr>
        <w:pStyle w:val="2222"/>
        <w:numPr>
          <w:ilvl w:val="0"/>
          <w:numId w:val="5"/>
        </w:numPr>
        <w:spacing w:after="120" w:line="288" w:lineRule="auto"/>
        <w:ind w:firstLineChars="0"/>
        <w:rPr>
          <w:sz w:val="20"/>
          <w:lang w:val="en-US" w:eastAsia="ko-KR"/>
        </w:rPr>
      </w:pPr>
      <w:bookmarkStart w:id="12" w:name="_Ref78981922"/>
      <w:r w:rsidRPr="00F36BEA">
        <w:rPr>
          <w:sz w:val="20"/>
          <w:lang w:val="en-US" w:eastAsia="ko-KR"/>
        </w:rPr>
        <w:lastRenderedPageBreak/>
        <w:t>Chairman Notes, 3GPP RAN1#102-e, e-Meeting, August, 2020.</w:t>
      </w:r>
      <w:bookmarkEnd w:id="12"/>
    </w:p>
    <w:bookmarkEnd w:id="9"/>
    <w:bookmarkEnd w:id="10"/>
    <w:p w14:paraId="4EF0C346" w14:textId="77777777" w:rsidR="00093D9D" w:rsidRDefault="00093D9D" w:rsidP="00093D9D">
      <w:pPr>
        <w:snapToGrid w:val="0"/>
        <w:spacing w:after="60"/>
        <w:jc w:val="both"/>
        <w:rPr>
          <w:sz w:val="20"/>
        </w:rPr>
      </w:pPr>
    </w:p>
    <w:p w14:paraId="6411CEF7" w14:textId="77777777" w:rsidR="00576804" w:rsidRPr="00576804" w:rsidRDefault="00576804" w:rsidP="00576804">
      <w:pPr>
        <w:spacing w:after="180"/>
        <w:rPr>
          <w:rFonts w:ascii="Arial" w:hAnsi="Arial" w:cs="Arial"/>
          <w:sz w:val="32"/>
          <w:lang w:val="en-US" w:eastAsia="ko-KR"/>
        </w:rPr>
      </w:pPr>
    </w:p>
    <w:sectPr w:rsidR="00576804" w:rsidRPr="00576804" w:rsidSect="00BD10D2">
      <w:headerReference w:type="default" r:id="rId3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C59F5" w14:textId="77777777" w:rsidR="008F2AE0" w:rsidRDefault="008F2AE0">
      <w:r>
        <w:separator/>
      </w:r>
    </w:p>
  </w:endnote>
  <w:endnote w:type="continuationSeparator" w:id="0">
    <w:p w14:paraId="4F79487F" w14:textId="77777777" w:rsidR="008F2AE0" w:rsidRDefault="008F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Sun"/>
    <w:charset w:val="86"/>
    <w:family w:val="modern"/>
    <w:pitch w:val="default"/>
    <w:sig w:usb0="00000000" w:usb1="00000000" w:usb2="00000010" w:usb3="00000000" w:csb0="00040000" w:csb1="00000000"/>
  </w:font>
  <w:font w:name="Gulim">
    <w:altName w:val="Malgun Gothic Semilight"/>
    <w:panose1 w:val="020B0600000101010101"/>
    <w:charset w:val="81"/>
    <w:family w:val="roman"/>
    <w:pitch w:val="default"/>
    <w:sig w:usb0="00000000" w:usb1="0000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92E42" w14:textId="77777777" w:rsidR="008F2AE0" w:rsidRDefault="008F2AE0">
      <w:r>
        <w:separator/>
      </w:r>
    </w:p>
  </w:footnote>
  <w:footnote w:type="continuationSeparator" w:id="0">
    <w:p w14:paraId="346D045A" w14:textId="77777777" w:rsidR="008F2AE0" w:rsidRDefault="008F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126D8" w14:textId="77777777" w:rsidR="00A9566E" w:rsidRDefault="00A9566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3736011"/>
    <w:multiLevelType w:val="hybridMultilevel"/>
    <w:tmpl w:val="488E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970B39"/>
    <w:multiLevelType w:val="hybridMultilevel"/>
    <w:tmpl w:val="AE50E290"/>
    <w:lvl w:ilvl="0" w:tplc="2D4034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34F52"/>
    <w:multiLevelType w:val="hybridMultilevel"/>
    <w:tmpl w:val="9E3AC6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CD0846"/>
    <w:multiLevelType w:val="hybridMultilevel"/>
    <w:tmpl w:val="50983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B5280"/>
    <w:multiLevelType w:val="hybridMultilevel"/>
    <w:tmpl w:val="A44C62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9952B5"/>
    <w:multiLevelType w:val="hybridMultilevel"/>
    <w:tmpl w:val="6B8896BE"/>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4"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D65B04"/>
    <w:multiLevelType w:val="hybridMultilevel"/>
    <w:tmpl w:val="E0969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EE7160E"/>
    <w:multiLevelType w:val="hybridMultilevel"/>
    <w:tmpl w:val="776A8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FF095B"/>
    <w:multiLevelType w:val="hybridMultilevel"/>
    <w:tmpl w:val="5224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7267CBD"/>
    <w:multiLevelType w:val="hybridMultilevel"/>
    <w:tmpl w:val="89DE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72123A"/>
    <w:multiLevelType w:val="hybridMultilevel"/>
    <w:tmpl w:val="F1889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EB488D"/>
    <w:multiLevelType w:val="hybridMultilevel"/>
    <w:tmpl w:val="F91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40"/>
  </w:num>
  <w:num w:numId="4">
    <w:abstractNumId w:val="50"/>
  </w:num>
  <w:num w:numId="5">
    <w:abstractNumId w:val="4"/>
  </w:num>
  <w:num w:numId="6">
    <w:abstractNumId w:val="2"/>
  </w:num>
  <w:num w:numId="7">
    <w:abstractNumId w:val="42"/>
  </w:num>
  <w:num w:numId="8">
    <w:abstractNumId w:val="46"/>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4"/>
  </w:num>
  <w:num w:numId="11">
    <w:abstractNumId w:val="17"/>
  </w:num>
  <w:num w:numId="12">
    <w:abstractNumId w:val="29"/>
  </w:num>
  <w:num w:numId="13">
    <w:abstractNumId w:val="21"/>
  </w:num>
  <w:num w:numId="14">
    <w:abstractNumId w:val="23"/>
  </w:num>
  <w:num w:numId="15">
    <w:abstractNumId w:val="1"/>
  </w:num>
  <w:num w:numId="16">
    <w:abstractNumId w:val="51"/>
  </w:num>
  <w:num w:numId="17">
    <w:abstractNumId w:val="11"/>
  </w:num>
  <w:num w:numId="18">
    <w:abstractNumId w:val="0"/>
  </w:num>
  <w:num w:numId="19">
    <w:abstractNumId w:val="37"/>
  </w:num>
  <w:num w:numId="20">
    <w:abstractNumId w:val="31"/>
  </w:num>
  <w:num w:numId="21">
    <w:abstractNumId w:val="57"/>
  </w:num>
  <w:num w:numId="22">
    <w:abstractNumId w:val="32"/>
  </w:num>
  <w:num w:numId="23">
    <w:abstractNumId w:val="52"/>
  </w:num>
  <w:num w:numId="24">
    <w:abstractNumId w:val="25"/>
  </w:num>
  <w:num w:numId="25">
    <w:abstractNumId w:val="19"/>
  </w:num>
  <w:num w:numId="26">
    <w:abstractNumId w:val="10"/>
  </w:num>
  <w:num w:numId="27">
    <w:abstractNumId w:val="35"/>
  </w:num>
  <w:num w:numId="28">
    <w:abstractNumId w:val="56"/>
  </w:num>
  <w:num w:numId="29">
    <w:abstractNumId w:val="48"/>
  </w:num>
  <w:num w:numId="30">
    <w:abstractNumId w:val="6"/>
  </w:num>
  <w:num w:numId="31">
    <w:abstractNumId w:val="58"/>
  </w:num>
  <w:num w:numId="32">
    <w:abstractNumId w:val="14"/>
  </w:num>
  <w:num w:numId="33">
    <w:abstractNumId w:val="49"/>
  </w:num>
  <w:num w:numId="34">
    <w:abstractNumId w:val="9"/>
  </w:num>
  <w:num w:numId="35">
    <w:abstractNumId w:val="44"/>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27"/>
  </w:num>
  <w:num w:numId="39">
    <w:abstractNumId w:val="22"/>
  </w:num>
  <w:num w:numId="40">
    <w:abstractNumId w:val="8"/>
  </w:num>
  <w:num w:numId="41">
    <w:abstractNumId w:val="18"/>
  </w:num>
  <w:num w:numId="42">
    <w:abstractNumId w:val="12"/>
  </w:num>
  <w:num w:numId="43">
    <w:abstractNumId w:val="43"/>
  </w:num>
  <w:num w:numId="44">
    <w:abstractNumId w:val="16"/>
  </w:num>
  <w:num w:numId="45">
    <w:abstractNumId w:val="20"/>
  </w:num>
  <w:num w:numId="46">
    <w:abstractNumId w:val="34"/>
  </w:num>
  <w:num w:numId="47">
    <w:abstractNumId w:val="3"/>
  </w:num>
  <w:num w:numId="48">
    <w:abstractNumId w:val="47"/>
  </w:num>
  <w:num w:numId="49">
    <w:abstractNumId w:val="15"/>
  </w:num>
  <w:num w:numId="50">
    <w:abstractNumId w:val="38"/>
  </w:num>
  <w:num w:numId="51">
    <w:abstractNumId w:val="28"/>
  </w:num>
  <w:num w:numId="52">
    <w:abstractNumId w:val="39"/>
  </w:num>
  <w:num w:numId="53">
    <w:abstractNumId w:val="55"/>
  </w:num>
  <w:num w:numId="54">
    <w:abstractNumId w:val="33"/>
  </w:num>
  <w:num w:numId="55">
    <w:abstractNumId w:val="5"/>
  </w:num>
  <w:num w:numId="56">
    <w:abstractNumId w:val="45"/>
  </w:num>
  <w:num w:numId="57">
    <w:abstractNumId w:val="41"/>
  </w:num>
  <w:num w:numId="58">
    <w:abstractNumId w:val="24"/>
  </w:num>
  <w:num w:numId="59">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4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5B8A"/>
    <w:rsid w:val="000165CD"/>
    <w:rsid w:val="00016655"/>
    <w:rsid w:val="000167DF"/>
    <w:rsid w:val="0001695D"/>
    <w:rsid w:val="000172F4"/>
    <w:rsid w:val="00017466"/>
    <w:rsid w:val="00017B59"/>
    <w:rsid w:val="00017F6D"/>
    <w:rsid w:val="000201B6"/>
    <w:rsid w:val="00020335"/>
    <w:rsid w:val="00020B64"/>
    <w:rsid w:val="000210FF"/>
    <w:rsid w:val="00021147"/>
    <w:rsid w:val="000217B9"/>
    <w:rsid w:val="0002183D"/>
    <w:rsid w:val="000218C2"/>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2D1"/>
    <w:rsid w:val="0003059A"/>
    <w:rsid w:val="00030B82"/>
    <w:rsid w:val="00030EA3"/>
    <w:rsid w:val="00030EA8"/>
    <w:rsid w:val="000318BB"/>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89"/>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35F"/>
    <w:rsid w:val="000553B4"/>
    <w:rsid w:val="00055A9D"/>
    <w:rsid w:val="00055EC9"/>
    <w:rsid w:val="000564D1"/>
    <w:rsid w:val="00056B06"/>
    <w:rsid w:val="00056C36"/>
    <w:rsid w:val="00056CB7"/>
    <w:rsid w:val="00056E48"/>
    <w:rsid w:val="00056FBE"/>
    <w:rsid w:val="00057250"/>
    <w:rsid w:val="000579E0"/>
    <w:rsid w:val="00057CB5"/>
    <w:rsid w:val="0006011D"/>
    <w:rsid w:val="00060151"/>
    <w:rsid w:val="00060156"/>
    <w:rsid w:val="00060242"/>
    <w:rsid w:val="000602CC"/>
    <w:rsid w:val="0006060C"/>
    <w:rsid w:val="00060660"/>
    <w:rsid w:val="00061035"/>
    <w:rsid w:val="000612B6"/>
    <w:rsid w:val="00061329"/>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67D0B"/>
    <w:rsid w:val="00070567"/>
    <w:rsid w:val="00070D5C"/>
    <w:rsid w:val="0007119C"/>
    <w:rsid w:val="000711FF"/>
    <w:rsid w:val="0007143A"/>
    <w:rsid w:val="00071C58"/>
    <w:rsid w:val="00071D6E"/>
    <w:rsid w:val="00071DF0"/>
    <w:rsid w:val="00072126"/>
    <w:rsid w:val="000721D1"/>
    <w:rsid w:val="000722AB"/>
    <w:rsid w:val="00072453"/>
    <w:rsid w:val="0007248F"/>
    <w:rsid w:val="00073137"/>
    <w:rsid w:val="000738CE"/>
    <w:rsid w:val="00073BD9"/>
    <w:rsid w:val="00073C42"/>
    <w:rsid w:val="00074083"/>
    <w:rsid w:val="0007458F"/>
    <w:rsid w:val="00074631"/>
    <w:rsid w:val="00074941"/>
    <w:rsid w:val="00075077"/>
    <w:rsid w:val="00075280"/>
    <w:rsid w:val="00075461"/>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187"/>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6D3D"/>
    <w:rsid w:val="0009710E"/>
    <w:rsid w:val="0009739B"/>
    <w:rsid w:val="000977D7"/>
    <w:rsid w:val="00097DE0"/>
    <w:rsid w:val="000A1174"/>
    <w:rsid w:val="000A1215"/>
    <w:rsid w:val="000A1373"/>
    <w:rsid w:val="000A1B8A"/>
    <w:rsid w:val="000A1CF5"/>
    <w:rsid w:val="000A1D31"/>
    <w:rsid w:val="000A1E28"/>
    <w:rsid w:val="000A26F4"/>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39"/>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DD8"/>
    <w:rsid w:val="000C621B"/>
    <w:rsid w:val="000C6350"/>
    <w:rsid w:val="000C650F"/>
    <w:rsid w:val="000C67FA"/>
    <w:rsid w:val="000C6B3D"/>
    <w:rsid w:val="000C6C56"/>
    <w:rsid w:val="000C6F34"/>
    <w:rsid w:val="000C7606"/>
    <w:rsid w:val="000C7C58"/>
    <w:rsid w:val="000D00DD"/>
    <w:rsid w:val="000D0202"/>
    <w:rsid w:val="000D06DC"/>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92C"/>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454"/>
    <w:rsid w:val="00112A78"/>
    <w:rsid w:val="00112AF8"/>
    <w:rsid w:val="00113201"/>
    <w:rsid w:val="001137A9"/>
    <w:rsid w:val="001139EF"/>
    <w:rsid w:val="0011411F"/>
    <w:rsid w:val="0011419C"/>
    <w:rsid w:val="00114205"/>
    <w:rsid w:val="00114231"/>
    <w:rsid w:val="00114294"/>
    <w:rsid w:val="0011471A"/>
    <w:rsid w:val="0011473C"/>
    <w:rsid w:val="00114DFC"/>
    <w:rsid w:val="00114EB4"/>
    <w:rsid w:val="00114F63"/>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9CC"/>
    <w:rsid w:val="00127AD3"/>
    <w:rsid w:val="001301C1"/>
    <w:rsid w:val="0013023F"/>
    <w:rsid w:val="001303E7"/>
    <w:rsid w:val="0013041F"/>
    <w:rsid w:val="001305E1"/>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D1"/>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687"/>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77"/>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B67"/>
    <w:rsid w:val="00176EC1"/>
    <w:rsid w:val="0017704D"/>
    <w:rsid w:val="00177B87"/>
    <w:rsid w:val="00177EDA"/>
    <w:rsid w:val="00180423"/>
    <w:rsid w:val="00180546"/>
    <w:rsid w:val="00180587"/>
    <w:rsid w:val="00180604"/>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50A"/>
    <w:rsid w:val="001956B4"/>
    <w:rsid w:val="00195CC7"/>
    <w:rsid w:val="001963B7"/>
    <w:rsid w:val="00196912"/>
    <w:rsid w:val="00196998"/>
    <w:rsid w:val="001971E7"/>
    <w:rsid w:val="00197671"/>
    <w:rsid w:val="00197933"/>
    <w:rsid w:val="00197BA4"/>
    <w:rsid w:val="00197DFB"/>
    <w:rsid w:val="001A09C6"/>
    <w:rsid w:val="001A2318"/>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E80"/>
    <w:rsid w:val="001B5429"/>
    <w:rsid w:val="001B620C"/>
    <w:rsid w:val="001B66A5"/>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A1"/>
    <w:rsid w:val="001C10BA"/>
    <w:rsid w:val="001C1196"/>
    <w:rsid w:val="001C11C9"/>
    <w:rsid w:val="001C1936"/>
    <w:rsid w:val="001C198B"/>
    <w:rsid w:val="001C2492"/>
    <w:rsid w:val="001C27AC"/>
    <w:rsid w:val="001C2809"/>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02C"/>
    <w:rsid w:val="001F215D"/>
    <w:rsid w:val="001F243E"/>
    <w:rsid w:val="001F2638"/>
    <w:rsid w:val="001F31C5"/>
    <w:rsid w:val="001F3815"/>
    <w:rsid w:val="001F3A1E"/>
    <w:rsid w:val="001F3BB8"/>
    <w:rsid w:val="001F3BD8"/>
    <w:rsid w:val="001F3C6E"/>
    <w:rsid w:val="001F3DBE"/>
    <w:rsid w:val="001F411C"/>
    <w:rsid w:val="001F4122"/>
    <w:rsid w:val="001F41A0"/>
    <w:rsid w:val="001F41A3"/>
    <w:rsid w:val="001F4519"/>
    <w:rsid w:val="001F47E1"/>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784"/>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5C9D"/>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A92"/>
    <w:rsid w:val="00240F98"/>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44F9"/>
    <w:rsid w:val="002553B2"/>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2C7"/>
    <w:rsid w:val="00273583"/>
    <w:rsid w:val="00273861"/>
    <w:rsid w:val="002738B0"/>
    <w:rsid w:val="002738CD"/>
    <w:rsid w:val="00274128"/>
    <w:rsid w:val="00274186"/>
    <w:rsid w:val="002741D4"/>
    <w:rsid w:val="00274425"/>
    <w:rsid w:val="002744BA"/>
    <w:rsid w:val="0027466D"/>
    <w:rsid w:val="00274B12"/>
    <w:rsid w:val="00274D06"/>
    <w:rsid w:val="00275093"/>
    <w:rsid w:val="002751FA"/>
    <w:rsid w:val="002752AF"/>
    <w:rsid w:val="00275487"/>
    <w:rsid w:val="002755CE"/>
    <w:rsid w:val="002757AF"/>
    <w:rsid w:val="00275C43"/>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97B91"/>
    <w:rsid w:val="002A0331"/>
    <w:rsid w:val="002A0382"/>
    <w:rsid w:val="002A06AB"/>
    <w:rsid w:val="002A0796"/>
    <w:rsid w:val="002A07A1"/>
    <w:rsid w:val="002A0AB0"/>
    <w:rsid w:val="002A10DF"/>
    <w:rsid w:val="002A16AE"/>
    <w:rsid w:val="002A174F"/>
    <w:rsid w:val="002A183C"/>
    <w:rsid w:val="002A1E47"/>
    <w:rsid w:val="002A1FC3"/>
    <w:rsid w:val="002A2502"/>
    <w:rsid w:val="002A2AD2"/>
    <w:rsid w:val="002A2B82"/>
    <w:rsid w:val="002A3A3D"/>
    <w:rsid w:val="002A3C1E"/>
    <w:rsid w:val="002A3CBF"/>
    <w:rsid w:val="002A409C"/>
    <w:rsid w:val="002A44F9"/>
    <w:rsid w:val="002A45DC"/>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114F"/>
    <w:rsid w:val="002B179B"/>
    <w:rsid w:val="002B1F73"/>
    <w:rsid w:val="002B2A53"/>
    <w:rsid w:val="002B2C39"/>
    <w:rsid w:val="002B2C55"/>
    <w:rsid w:val="002B2D29"/>
    <w:rsid w:val="002B35EA"/>
    <w:rsid w:val="002B38CA"/>
    <w:rsid w:val="002B447D"/>
    <w:rsid w:val="002B4FF4"/>
    <w:rsid w:val="002B5040"/>
    <w:rsid w:val="002B52C6"/>
    <w:rsid w:val="002B57DB"/>
    <w:rsid w:val="002B5B03"/>
    <w:rsid w:val="002B5FED"/>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C20"/>
    <w:rsid w:val="002C0D28"/>
    <w:rsid w:val="002C1075"/>
    <w:rsid w:val="002C1230"/>
    <w:rsid w:val="002C227E"/>
    <w:rsid w:val="002C2A55"/>
    <w:rsid w:val="002C30FE"/>
    <w:rsid w:val="002C3193"/>
    <w:rsid w:val="002C35A8"/>
    <w:rsid w:val="002C3C05"/>
    <w:rsid w:val="002C3D0F"/>
    <w:rsid w:val="002C46A5"/>
    <w:rsid w:val="002C48FC"/>
    <w:rsid w:val="002C52FA"/>
    <w:rsid w:val="002C5809"/>
    <w:rsid w:val="002C5C9A"/>
    <w:rsid w:val="002C5E8F"/>
    <w:rsid w:val="002C6110"/>
    <w:rsid w:val="002C6935"/>
    <w:rsid w:val="002C7A4B"/>
    <w:rsid w:val="002C7FC8"/>
    <w:rsid w:val="002D0013"/>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ABB"/>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12B"/>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629"/>
    <w:rsid w:val="00332D38"/>
    <w:rsid w:val="0033317A"/>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6F7D"/>
    <w:rsid w:val="00337211"/>
    <w:rsid w:val="00337623"/>
    <w:rsid w:val="00337D56"/>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C75"/>
    <w:rsid w:val="00354F47"/>
    <w:rsid w:val="00355286"/>
    <w:rsid w:val="003552C8"/>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AE5"/>
    <w:rsid w:val="00361100"/>
    <w:rsid w:val="00361538"/>
    <w:rsid w:val="00361C47"/>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EBD"/>
    <w:rsid w:val="00367F5B"/>
    <w:rsid w:val="00370803"/>
    <w:rsid w:val="00370958"/>
    <w:rsid w:val="00370A30"/>
    <w:rsid w:val="003713CA"/>
    <w:rsid w:val="00371C87"/>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BA7"/>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702D"/>
    <w:rsid w:val="003A71FD"/>
    <w:rsid w:val="003A730C"/>
    <w:rsid w:val="003B0014"/>
    <w:rsid w:val="003B097E"/>
    <w:rsid w:val="003B0AC6"/>
    <w:rsid w:val="003B1772"/>
    <w:rsid w:val="003B19CA"/>
    <w:rsid w:val="003B1B2E"/>
    <w:rsid w:val="003B2321"/>
    <w:rsid w:val="003B23FB"/>
    <w:rsid w:val="003B246E"/>
    <w:rsid w:val="003B28A0"/>
    <w:rsid w:val="003B3251"/>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5A"/>
    <w:rsid w:val="003B7182"/>
    <w:rsid w:val="003B71FB"/>
    <w:rsid w:val="003B73AF"/>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2AF"/>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681B"/>
    <w:rsid w:val="003D75B3"/>
    <w:rsid w:val="003D7739"/>
    <w:rsid w:val="003D79CD"/>
    <w:rsid w:val="003E0146"/>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AB6"/>
    <w:rsid w:val="003F4D6D"/>
    <w:rsid w:val="003F4E14"/>
    <w:rsid w:val="003F4F6C"/>
    <w:rsid w:val="003F540A"/>
    <w:rsid w:val="003F54DE"/>
    <w:rsid w:val="003F5575"/>
    <w:rsid w:val="003F59CB"/>
    <w:rsid w:val="003F5D7B"/>
    <w:rsid w:val="003F6465"/>
    <w:rsid w:val="003F6509"/>
    <w:rsid w:val="003F66D1"/>
    <w:rsid w:val="003F680E"/>
    <w:rsid w:val="003F68CE"/>
    <w:rsid w:val="003F6FC9"/>
    <w:rsid w:val="003F7115"/>
    <w:rsid w:val="003F7398"/>
    <w:rsid w:val="003F74C4"/>
    <w:rsid w:val="003F7954"/>
    <w:rsid w:val="003F79A6"/>
    <w:rsid w:val="003F7DDD"/>
    <w:rsid w:val="003F7FDE"/>
    <w:rsid w:val="00400314"/>
    <w:rsid w:val="004006C5"/>
    <w:rsid w:val="00400702"/>
    <w:rsid w:val="00401312"/>
    <w:rsid w:val="0040196A"/>
    <w:rsid w:val="004019C5"/>
    <w:rsid w:val="00401E47"/>
    <w:rsid w:val="00401F93"/>
    <w:rsid w:val="00402843"/>
    <w:rsid w:val="00402864"/>
    <w:rsid w:val="00402DCD"/>
    <w:rsid w:val="0040329D"/>
    <w:rsid w:val="00403377"/>
    <w:rsid w:val="0040357B"/>
    <w:rsid w:val="00403678"/>
    <w:rsid w:val="00403818"/>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3B4"/>
    <w:rsid w:val="00417513"/>
    <w:rsid w:val="00417DC5"/>
    <w:rsid w:val="00417E7C"/>
    <w:rsid w:val="00420853"/>
    <w:rsid w:val="004214DF"/>
    <w:rsid w:val="0042158A"/>
    <w:rsid w:val="00421595"/>
    <w:rsid w:val="00421697"/>
    <w:rsid w:val="004216DF"/>
    <w:rsid w:val="0042176A"/>
    <w:rsid w:val="004219BC"/>
    <w:rsid w:val="00421C9C"/>
    <w:rsid w:val="00421E04"/>
    <w:rsid w:val="00421EFE"/>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A44"/>
    <w:rsid w:val="004262A5"/>
    <w:rsid w:val="00426FA6"/>
    <w:rsid w:val="0042705B"/>
    <w:rsid w:val="00427387"/>
    <w:rsid w:val="004277F2"/>
    <w:rsid w:val="004278B3"/>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584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804"/>
    <w:rsid w:val="00447A9D"/>
    <w:rsid w:val="00447C68"/>
    <w:rsid w:val="00447D37"/>
    <w:rsid w:val="00447EF7"/>
    <w:rsid w:val="004501D0"/>
    <w:rsid w:val="004503B5"/>
    <w:rsid w:val="004506AA"/>
    <w:rsid w:val="00450854"/>
    <w:rsid w:val="00450872"/>
    <w:rsid w:val="00450C48"/>
    <w:rsid w:val="0045148B"/>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4B"/>
    <w:rsid w:val="004614F4"/>
    <w:rsid w:val="00461562"/>
    <w:rsid w:val="00461AA7"/>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8D7"/>
    <w:rsid w:val="00474B97"/>
    <w:rsid w:val="00474BDC"/>
    <w:rsid w:val="00474D44"/>
    <w:rsid w:val="00474E86"/>
    <w:rsid w:val="00474F44"/>
    <w:rsid w:val="0047525B"/>
    <w:rsid w:val="004752E6"/>
    <w:rsid w:val="0047575D"/>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179"/>
    <w:rsid w:val="004822DE"/>
    <w:rsid w:val="00482C7B"/>
    <w:rsid w:val="00482F80"/>
    <w:rsid w:val="004831B2"/>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2BA4"/>
    <w:rsid w:val="004930D7"/>
    <w:rsid w:val="0049325B"/>
    <w:rsid w:val="0049340D"/>
    <w:rsid w:val="00493A37"/>
    <w:rsid w:val="00493B97"/>
    <w:rsid w:val="00493E00"/>
    <w:rsid w:val="00494189"/>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0DB"/>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2E4"/>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7049"/>
    <w:rsid w:val="004E73C9"/>
    <w:rsid w:val="004E7777"/>
    <w:rsid w:val="004F040F"/>
    <w:rsid w:val="004F08B5"/>
    <w:rsid w:val="004F120F"/>
    <w:rsid w:val="004F17BB"/>
    <w:rsid w:val="004F1853"/>
    <w:rsid w:val="004F1E73"/>
    <w:rsid w:val="004F225F"/>
    <w:rsid w:val="004F284E"/>
    <w:rsid w:val="004F2EA4"/>
    <w:rsid w:val="004F312A"/>
    <w:rsid w:val="004F32C8"/>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4F7D27"/>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7DA"/>
    <w:rsid w:val="005138F0"/>
    <w:rsid w:val="005138F7"/>
    <w:rsid w:val="005146EA"/>
    <w:rsid w:val="005147EA"/>
    <w:rsid w:val="00514858"/>
    <w:rsid w:val="00514BFF"/>
    <w:rsid w:val="00514ED9"/>
    <w:rsid w:val="005158D0"/>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2DFB"/>
    <w:rsid w:val="00523005"/>
    <w:rsid w:val="0052348B"/>
    <w:rsid w:val="005236DD"/>
    <w:rsid w:val="0052381E"/>
    <w:rsid w:val="00523D28"/>
    <w:rsid w:val="005242CE"/>
    <w:rsid w:val="005244F0"/>
    <w:rsid w:val="00524953"/>
    <w:rsid w:val="00524BCF"/>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70"/>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60F0"/>
    <w:rsid w:val="005466EF"/>
    <w:rsid w:val="00547647"/>
    <w:rsid w:val="00547B30"/>
    <w:rsid w:val="00550050"/>
    <w:rsid w:val="00550246"/>
    <w:rsid w:val="005505C2"/>
    <w:rsid w:val="00550983"/>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2EBF"/>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08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804"/>
    <w:rsid w:val="00576ADB"/>
    <w:rsid w:val="00576B04"/>
    <w:rsid w:val="00576F91"/>
    <w:rsid w:val="00577803"/>
    <w:rsid w:val="00577C93"/>
    <w:rsid w:val="00577E3A"/>
    <w:rsid w:val="005808CD"/>
    <w:rsid w:val="00580E2E"/>
    <w:rsid w:val="00580E7B"/>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5A9"/>
    <w:rsid w:val="00586684"/>
    <w:rsid w:val="00586A2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5EB"/>
    <w:rsid w:val="00592741"/>
    <w:rsid w:val="00592999"/>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B9A"/>
    <w:rsid w:val="00596DE5"/>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4B9"/>
    <w:rsid w:val="005C0E5B"/>
    <w:rsid w:val="005C0FA3"/>
    <w:rsid w:val="005C105E"/>
    <w:rsid w:val="005C1174"/>
    <w:rsid w:val="005C14F3"/>
    <w:rsid w:val="005C1F5E"/>
    <w:rsid w:val="005C1FE0"/>
    <w:rsid w:val="005C21D9"/>
    <w:rsid w:val="005C2249"/>
    <w:rsid w:val="005C2314"/>
    <w:rsid w:val="005C2801"/>
    <w:rsid w:val="005C2D10"/>
    <w:rsid w:val="005C3014"/>
    <w:rsid w:val="005C36AB"/>
    <w:rsid w:val="005C377E"/>
    <w:rsid w:val="005C38FB"/>
    <w:rsid w:val="005C3A35"/>
    <w:rsid w:val="005C3F09"/>
    <w:rsid w:val="005C3F14"/>
    <w:rsid w:val="005C4148"/>
    <w:rsid w:val="005C4A48"/>
    <w:rsid w:val="005C4FF5"/>
    <w:rsid w:val="005C51AD"/>
    <w:rsid w:val="005C5AF9"/>
    <w:rsid w:val="005C5D9C"/>
    <w:rsid w:val="005C5E91"/>
    <w:rsid w:val="005C6627"/>
    <w:rsid w:val="005C67C6"/>
    <w:rsid w:val="005C6828"/>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46"/>
    <w:rsid w:val="005E29C5"/>
    <w:rsid w:val="005E2C62"/>
    <w:rsid w:val="005E2E05"/>
    <w:rsid w:val="005E3057"/>
    <w:rsid w:val="005E335E"/>
    <w:rsid w:val="005E39A9"/>
    <w:rsid w:val="005E3F2C"/>
    <w:rsid w:val="005E4289"/>
    <w:rsid w:val="005E4304"/>
    <w:rsid w:val="005E46CC"/>
    <w:rsid w:val="005E4D11"/>
    <w:rsid w:val="005E4EB6"/>
    <w:rsid w:val="005E4FDA"/>
    <w:rsid w:val="005E50C3"/>
    <w:rsid w:val="005E52D7"/>
    <w:rsid w:val="005E53EF"/>
    <w:rsid w:val="005E54EF"/>
    <w:rsid w:val="005E567E"/>
    <w:rsid w:val="005E58B6"/>
    <w:rsid w:val="005E5B13"/>
    <w:rsid w:val="005E5B6E"/>
    <w:rsid w:val="005E6633"/>
    <w:rsid w:val="005E68E0"/>
    <w:rsid w:val="005E6B2C"/>
    <w:rsid w:val="005E78B2"/>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385"/>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065"/>
    <w:rsid w:val="006255CB"/>
    <w:rsid w:val="00625867"/>
    <w:rsid w:val="00625DE1"/>
    <w:rsid w:val="00625E40"/>
    <w:rsid w:val="00626677"/>
    <w:rsid w:val="00626FD1"/>
    <w:rsid w:val="006272FB"/>
    <w:rsid w:val="0062747F"/>
    <w:rsid w:val="00627509"/>
    <w:rsid w:val="00627596"/>
    <w:rsid w:val="0062769A"/>
    <w:rsid w:val="00627748"/>
    <w:rsid w:val="0062774C"/>
    <w:rsid w:val="006277A5"/>
    <w:rsid w:val="00627C44"/>
    <w:rsid w:val="00627D3F"/>
    <w:rsid w:val="00630407"/>
    <w:rsid w:val="00630596"/>
    <w:rsid w:val="006307C9"/>
    <w:rsid w:val="00630E61"/>
    <w:rsid w:val="00630E9A"/>
    <w:rsid w:val="0063114B"/>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B8E"/>
    <w:rsid w:val="00635FD4"/>
    <w:rsid w:val="00636447"/>
    <w:rsid w:val="00636E00"/>
    <w:rsid w:val="006372E8"/>
    <w:rsid w:val="00637397"/>
    <w:rsid w:val="0064035F"/>
    <w:rsid w:val="006407EC"/>
    <w:rsid w:val="00640808"/>
    <w:rsid w:val="00640EE3"/>
    <w:rsid w:val="00640FC8"/>
    <w:rsid w:val="0064113E"/>
    <w:rsid w:val="006411B1"/>
    <w:rsid w:val="006415FA"/>
    <w:rsid w:val="006417DC"/>
    <w:rsid w:val="00641AA5"/>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249"/>
    <w:rsid w:val="0067495A"/>
    <w:rsid w:val="00674DB7"/>
    <w:rsid w:val="00675513"/>
    <w:rsid w:val="00675662"/>
    <w:rsid w:val="00675881"/>
    <w:rsid w:val="00675B97"/>
    <w:rsid w:val="00675C00"/>
    <w:rsid w:val="0067621A"/>
    <w:rsid w:val="0067690C"/>
    <w:rsid w:val="00676B04"/>
    <w:rsid w:val="006778E0"/>
    <w:rsid w:val="00677A2D"/>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F2F"/>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DE"/>
    <w:rsid w:val="006A2D38"/>
    <w:rsid w:val="006A2D54"/>
    <w:rsid w:val="006A2FF5"/>
    <w:rsid w:val="006A42C5"/>
    <w:rsid w:val="006A4405"/>
    <w:rsid w:val="006A4597"/>
    <w:rsid w:val="006A4A5A"/>
    <w:rsid w:val="006A5039"/>
    <w:rsid w:val="006A5616"/>
    <w:rsid w:val="006A568B"/>
    <w:rsid w:val="006A5692"/>
    <w:rsid w:val="006A60DA"/>
    <w:rsid w:val="006A6119"/>
    <w:rsid w:val="006A65A0"/>
    <w:rsid w:val="006A6660"/>
    <w:rsid w:val="006A6A20"/>
    <w:rsid w:val="006A6FAD"/>
    <w:rsid w:val="006A7131"/>
    <w:rsid w:val="006A727C"/>
    <w:rsid w:val="006A76EA"/>
    <w:rsid w:val="006A7D1B"/>
    <w:rsid w:val="006B07D4"/>
    <w:rsid w:val="006B119D"/>
    <w:rsid w:val="006B15E0"/>
    <w:rsid w:val="006B1826"/>
    <w:rsid w:val="006B1A63"/>
    <w:rsid w:val="006B1C0B"/>
    <w:rsid w:val="006B1E13"/>
    <w:rsid w:val="006B1FED"/>
    <w:rsid w:val="006B29F5"/>
    <w:rsid w:val="006B2CB4"/>
    <w:rsid w:val="006B2F35"/>
    <w:rsid w:val="006B3048"/>
    <w:rsid w:val="006B347E"/>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678"/>
    <w:rsid w:val="006C7CBE"/>
    <w:rsid w:val="006C7E7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832"/>
    <w:rsid w:val="006F1956"/>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2DB"/>
    <w:rsid w:val="007106DA"/>
    <w:rsid w:val="00710726"/>
    <w:rsid w:val="0071081E"/>
    <w:rsid w:val="00710DAD"/>
    <w:rsid w:val="00711056"/>
    <w:rsid w:val="007110E6"/>
    <w:rsid w:val="007114D2"/>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715"/>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6CD"/>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8FE"/>
    <w:rsid w:val="00733AAE"/>
    <w:rsid w:val="00733C33"/>
    <w:rsid w:val="00733C89"/>
    <w:rsid w:val="00733E13"/>
    <w:rsid w:val="00733FDD"/>
    <w:rsid w:val="00734169"/>
    <w:rsid w:val="007347C4"/>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DEE"/>
    <w:rsid w:val="00757FE3"/>
    <w:rsid w:val="0076059B"/>
    <w:rsid w:val="0076071E"/>
    <w:rsid w:val="00760CE8"/>
    <w:rsid w:val="00760E37"/>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85E"/>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B1B"/>
    <w:rsid w:val="00770E92"/>
    <w:rsid w:val="00771906"/>
    <w:rsid w:val="00771C2E"/>
    <w:rsid w:val="00771F90"/>
    <w:rsid w:val="00772158"/>
    <w:rsid w:val="0077345B"/>
    <w:rsid w:val="00773C05"/>
    <w:rsid w:val="00774013"/>
    <w:rsid w:val="0077429E"/>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18B"/>
    <w:rsid w:val="007A0B80"/>
    <w:rsid w:val="007A0DD9"/>
    <w:rsid w:val="007A0E87"/>
    <w:rsid w:val="007A12D9"/>
    <w:rsid w:val="007A13ED"/>
    <w:rsid w:val="007A17D0"/>
    <w:rsid w:val="007A1976"/>
    <w:rsid w:val="007A1AAC"/>
    <w:rsid w:val="007A2413"/>
    <w:rsid w:val="007A2AF5"/>
    <w:rsid w:val="007A30F3"/>
    <w:rsid w:val="007A32B5"/>
    <w:rsid w:val="007A35FA"/>
    <w:rsid w:val="007A3774"/>
    <w:rsid w:val="007A3DB5"/>
    <w:rsid w:val="007A489A"/>
    <w:rsid w:val="007A49A2"/>
    <w:rsid w:val="007A49DA"/>
    <w:rsid w:val="007A4B07"/>
    <w:rsid w:val="007A4F0E"/>
    <w:rsid w:val="007A5C9F"/>
    <w:rsid w:val="007A5DF0"/>
    <w:rsid w:val="007A6446"/>
    <w:rsid w:val="007A6804"/>
    <w:rsid w:val="007A682E"/>
    <w:rsid w:val="007A6A84"/>
    <w:rsid w:val="007A6B85"/>
    <w:rsid w:val="007A73EB"/>
    <w:rsid w:val="007A772D"/>
    <w:rsid w:val="007A7A52"/>
    <w:rsid w:val="007A7AD0"/>
    <w:rsid w:val="007B04D7"/>
    <w:rsid w:val="007B04DC"/>
    <w:rsid w:val="007B1410"/>
    <w:rsid w:val="007B2049"/>
    <w:rsid w:val="007B299C"/>
    <w:rsid w:val="007B2A97"/>
    <w:rsid w:val="007B3694"/>
    <w:rsid w:val="007B384C"/>
    <w:rsid w:val="007B3B69"/>
    <w:rsid w:val="007B3D07"/>
    <w:rsid w:val="007B3ED7"/>
    <w:rsid w:val="007B3EF9"/>
    <w:rsid w:val="007B49B4"/>
    <w:rsid w:val="007B4C2A"/>
    <w:rsid w:val="007B4F16"/>
    <w:rsid w:val="007B4F2A"/>
    <w:rsid w:val="007B5D4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0DA"/>
    <w:rsid w:val="007D3268"/>
    <w:rsid w:val="007D3572"/>
    <w:rsid w:val="007D3740"/>
    <w:rsid w:val="007D3B92"/>
    <w:rsid w:val="007D3E0D"/>
    <w:rsid w:val="007D4042"/>
    <w:rsid w:val="007D418C"/>
    <w:rsid w:val="007D41CB"/>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DEA"/>
    <w:rsid w:val="007E7FB0"/>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924"/>
    <w:rsid w:val="008200C7"/>
    <w:rsid w:val="008201CC"/>
    <w:rsid w:val="008205C0"/>
    <w:rsid w:val="008206CD"/>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A49"/>
    <w:rsid w:val="00837E33"/>
    <w:rsid w:val="00840022"/>
    <w:rsid w:val="00840029"/>
    <w:rsid w:val="00840044"/>
    <w:rsid w:val="00841585"/>
    <w:rsid w:val="00841893"/>
    <w:rsid w:val="008421F9"/>
    <w:rsid w:val="0084260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8B0"/>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AD9"/>
    <w:rsid w:val="00850C13"/>
    <w:rsid w:val="0085153B"/>
    <w:rsid w:val="00851938"/>
    <w:rsid w:val="00851CF3"/>
    <w:rsid w:val="00851F7A"/>
    <w:rsid w:val="008520AF"/>
    <w:rsid w:val="00852312"/>
    <w:rsid w:val="0085265C"/>
    <w:rsid w:val="008527F5"/>
    <w:rsid w:val="00852FCA"/>
    <w:rsid w:val="008533B1"/>
    <w:rsid w:val="00853AD5"/>
    <w:rsid w:val="00853C5B"/>
    <w:rsid w:val="008542AA"/>
    <w:rsid w:val="0085454A"/>
    <w:rsid w:val="00854619"/>
    <w:rsid w:val="0085484C"/>
    <w:rsid w:val="00854C6B"/>
    <w:rsid w:val="00854CC4"/>
    <w:rsid w:val="00854DA1"/>
    <w:rsid w:val="00854EB1"/>
    <w:rsid w:val="008555DA"/>
    <w:rsid w:val="0085569E"/>
    <w:rsid w:val="00855A09"/>
    <w:rsid w:val="00855B15"/>
    <w:rsid w:val="00855B84"/>
    <w:rsid w:val="00855D57"/>
    <w:rsid w:val="0085613B"/>
    <w:rsid w:val="00856C17"/>
    <w:rsid w:val="0085700B"/>
    <w:rsid w:val="008570E9"/>
    <w:rsid w:val="008579FA"/>
    <w:rsid w:val="00857A29"/>
    <w:rsid w:val="00860184"/>
    <w:rsid w:val="008602F5"/>
    <w:rsid w:val="008604AE"/>
    <w:rsid w:val="00860A63"/>
    <w:rsid w:val="00860B8B"/>
    <w:rsid w:val="00860ECC"/>
    <w:rsid w:val="0086120A"/>
    <w:rsid w:val="00861D6F"/>
    <w:rsid w:val="00861E0F"/>
    <w:rsid w:val="00861E2F"/>
    <w:rsid w:val="00861ED9"/>
    <w:rsid w:val="0086235A"/>
    <w:rsid w:val="0086241B"/>
    <w:rsid w:val="0086345F"/>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5172"/>
    <w:rsid w:val="008A56F0"/>
    <w:rsid w:val="008A5937"/>
    <w:rsid w:val="008A597B"/>
    <w:rsid w:val="008A5BA0"/>
    <w:rsid w:val="008A5F8E"/>
    <w:rsid w:val="008A6010"/>
    <w:rsid w:val="008A60FF"/>
    <w:rsid w:val="008A6593"/>
    <w:rsid w:val="008A6641"/>
    <w:rsid w:val="008A7447"/>
    <w:rsid w:val="008A7736"/>
    <w:rsid w:val="008A7A3B"/>
    <w:rsid w:val="008A7EB1"/>
    <w:rsid w:val="008B04C3"/>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2FE3"/>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BE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76C"/>
    <w:rsid w:val="008F0C8F"/>
    <w:rsid w:val="008F0F07"/>
    <w:rsid w:val="008F148E"/>
    <w:rsid w:val="008F1663"/>
    <w:rsid w:val="008F16F6"/>
    <w:rsid w:val="008F1CAE"/>
    <w:rsid w:val="008F265C"/>
    <w:rsid w:val="008F270A"/>
    <w:rsid w:val="008F2AE0"/>
    <w:rsid w:val="008F2B67"/>
    <w:rsid w:val="008F301F"/>
    <w:rsid w:val="008F33C4"/>
    <w:rsid w:val="008F3B6F"/>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B17"/>
    <w:rsid w:val="00910F8E"/>
    <w:rsid w:val="009112F8"/>
    <w:rsid w:val="00911DA0"/>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5B6"/>
    <w:rsid w:val="00921C94"/>
    <w:rsid w:val="00921C98"/>
    <w:rsid w:val="00922A0F"/>
    <w:rsid w:val="00922ED3"/>
    <w:rsid w:val="00923C35"/>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486"/>
    <w:rsid w:val="009344F2"/>
    <w:rsid w:val="00934C6C"/>
    <w:rsid w:val="00935448"/>
    <w:rsid w:val="00935760"/>
    <w:rsid w:val="00935BEC"/>
    <w:rsid w:val="009360EA"/>
    <w:rsid w:val="009360F0"/>
    <w:rsid w:val="009370E6"/>
    <w:rsid w:val="0093725F"/>
    <w:rsid w:val="00937CA5"/>
    <w:rsid w:val="00937D5B"/>
    <w:rsid w:val="00937E33"/>
    <w:rsid w:val="0094107A"/>
    <w:rsid w:val="0094163F"/>
    <w:rsid w:val="0094185D"/>
    <w:rsid w:val="009419E1"/>
    <w:rsid w:val="00941B7D"/>
    <w:rsid w:val="0094231E"/>
    <w:rsid w:val="00942406"/>
    <w:rsid w:val="009429BD"/>
    <w:rsid w:val="009429FC"/>
    <w:rsid w:val="00942C1A"/>
    <w:rsid w:val="00942E6D"/>
    <w:rsid w:val="00943C32"/>
    <w:rsid w:val="00943D13"/>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953"/>
    <w:rsid w:val="00946CA7"/>
    <w:rsid w:val="00947014"/>
    <w:rsid w:val="009470F1"/>
    <w:rsid w:val="0094741D"/>
    <w:rsid w:val="00947445"/>
    <w:rsid w:val="009477A0"/>
    <w:rsid w:val="00947A0A"/>
    <w:rsid w:val="00947DED"/>
    <w:rsid w:val="009502CE"/>
    <w:rsid w:val="00950309"/>
    <w:rsid w:val="00950D03"/>
    <w:rsid w:val="00950EB1"/>
    <w:rsid w:val="0095220B"/>
    <w:rsid w:val="00952223"/>
    <w:rsid w:val="00952316"/>
    <w:rsid w:val="00952A7E"/>
    <w:rsid w:val="00952B7C"/>
    <w:rsid w:val="009535C4"/>
    <w:rsid w:val="009537DD"/>
    <w:rsid w:val="009538EE"/>
    <w:rsid w:val="00954215"/>
    <w:rsid w:val="00954A84"/>
    <w:rsid w:val="00954EBF"/>
    <w:rsid w:val="00954EF1"/>
    <w:rsid w:val="009557C2"/>
    <w:rsid w:val="00955AEA"/>
    <w:rsid w:val="00955D6A"/>
    <w:rsid w:val="009564A8"/>
    <w:rsid w:val="00956F50"/>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16"/>
    <w:rsid w:val="00977DE4"/>
    <w:rsid w:val="00977E64"/>
    <w:rsid w:val="00980278"/>
    <w:rsid w:val="0098068D"/>
    <w:rsid w:val="009811C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1EA"/>
    <w:rsid w:val="00984541"/>
    <w:rsid w:val="009849F5"/>
    <w:rsid w:val="00984F3F"/>
    <w:rsid w:val="0098500F"/>
    <w:rsid w:val="00985211"/>
    <w:rsid w:val="0098598C"/>
    <w:rsid w:val="00985B18"/>
    <w:rsid w:val="00986810"/>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3CE"/>
    <w:rsid w:val="009A6C4C"/>
    <w:rsid w:val="009A6D58"/>
    <w:rsid w:val="009A6E14"/>
    <w:rsid w:val="009A7375"/>
    <w:rsid w:val="009A75A6"/>
    <w:rsid w:val="009B0099"/>
    <w:rsid w:val="009B011B"/>
    <w:rsid w:val="009B1EE2"/>
    <w:rsid w:val="009B23D0"/>
    <w:rsid w:val="009B245D"/>
    <w:rsid w:val="009B2524"/>
    <w:rsid w:val="009B2AF9"/>
    <w:rsid w:val="009B3251"/>
    <w:rsid w:val="009B3421"/>
    <w:rsid w:val="009B40B4"/>
    <w:rsid w:val="009B43ED"/>
    <w:rsid w:val="009B4837"/>
    <w:rsid w:val="009B49A2"/>
    <w:rsid w:val="009B5227"/>
    <w:rsid w:val="009B577F"/>
    <w:rsid w:val="009B5D2E"/>
    <w:rsid w:val="009B5FF3"/>
    <w:rsid w:val="009B64B4"/>
    <w:rsid w:val="009B68BC"/>
    <w:rsid w:val="009B694A"/>
    <w:rsid w:val="009B6D12"/>
    <w:rsid w:val="009B6FC4"/>
    <w:rsid w:val="009B74A5"/>
    <w:rsid w:val="009B78C4"/>
    <w:rsid w:val="009B7C28"/>
    <w:rsid w:val="009B7C61"/>
    <w:rsid w:val="009B7C8B"/>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611C"/>
    <w:rsid w:val="009D668B"/>
    <w:rsid w:val="009D66B8"/>
    <w:rsid w:val="009D670A"/>
    <w:rsid w:val="009D6C2A"/>
    <w:rsid w:val="009D7282"/>
    <w:rsid w:val="009D7425"/>
    <w:rsid w:val="009D74F0"/>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4E8B"/>
    <w:rsid w:val="009E589D"/>
    <w:rsid w:val="009E5B8B"/>
    <w:rsid w:val="009E6403"/>
    <w:rsid w:val="009E69CF"/>
    <w:rsid w:val="009E7117"/>
    <w:rsid w:val="009E732B"/>
    <w:rsid w:val="009E7CD9"/>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9BC"/>
    <w:rsid w:val="009F4BE7"/>
    <w:rsid w:val="009F4C65"/>
    <w:rsid w:val="009F5125"/>
    <w:rsid w:val="009F5269"/>
    <w:rsid w:val="009F56E9"/>
    <w:rsid w:val="009F5738"/>
    <w:rsid w:val="009F59A7"/>
    <w:rsid w:val="009F5B4F"/>
    <w:rsid w:val="009F6037"/>
    <w:rsid w:val="009F611D"/>
    <w:rsid w:val="009F64CD"/>
    <w:rsid w:val="00A0089B"/>
    <w:rsid w:val="00A00F12"/>
    <w:rsid w:val="00A01184"/>
    <w:rsid w:val="00A015CD"/>
    <w:rsid w:val="00A0183E"/>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45D"/>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0F"/>
    <w:rsid w:val="00A164EB"/>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C18"/>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7C2"/>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6CF6"/>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32"/>
    <w:rsid w:val="00A55247"/>
    <w:rsid w:val="00A563A4"/>
    <w:rsid w:val="00A5654A"/>
    <w:rsid w:val="00A5697C"/>
    <w:rsid w:val="00A569D5"/>
    <w:rsid w:val="00A56BEE"/>
    <w:rsid w:val="00A570A1"/>
    <w:rsid w:val="00A57389"/>
    <w:rsid w:val="00A57432"/>
    <w:rsid w:val="00A60156"/>
    <w:rsid w:val="00A60B96"/>
    <w:rsid w:val="00A60EBA"/>
    <w:rsid w:val="00A61589"/>
    <w:rsid w:val="00A61895"/>
    <w:rsid w:val="00A6228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9D"/>
    <w:rsid w:val="00A86BC1"/>
    <w:rsid w:val="00A86C9F"/>
    <w:rsid w:val="00A86CBB"/>
    <w:rsid w:val="00A87968"/>
    <w:rsid w:val="00A87D63"/>
    <w:rsid w:val="00A87DDF"/>
    <w:rsid w:val="00A90629"/>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4D13"/>
    <w:rsid w:val="00A94E83"/>
    <w:rsid w:val="00A950B4"/>
    <w:rsid w:val="00A95649"/>
    <w:rsid w:val="00A9566E"/>
    <w:rsid w:val="00A9571F"/>
    <w:rsid w:val="00A95CEE"/>
    <w:rsid w:val="00A95D35"/>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D04"/>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159"/>
    <w:rsid w:val="00AB63F6"/>
    <w:rsid w:val="00AB6593"/>
    <w:rsid w:val="00AB67DC"/>
    <w:rsid w:val="00AB6A6C"/>
    <w:rsid w:val="00AB6AC6"/>
    <w:rsid w:val="00AB6DF8"/>
    <w:rsid w:val="00AB75FA"/>
    <w:rsid w:val="00AB77DC"/>
    <w:rsid w:val="00AB7B4F"/>
    <w:rsid w:val="00AC0314"/>
    <w:rsid w:val="00AC04AC"/>
    <w:rsid w:val="00AC09F8"/>
    <w:rsid w:val="00AC1170"/>
    <w:rsid w:val="00AC1A8C"/>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B5C"/>
    <w:rsid w:val="00AD3CDF"/>
    <w:rsid w:val="00AD3DB5"/>
    <w:rsid w:val="00AD483D"/>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1B1"/>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6C5E"/>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1EB"/>
    <w:rsid w:val="00B3072D"/>
    <w:rsid w:val="00B30A7F"/>
    <w:rsid w:val="00B30B75"/>
    <w:rsid w:val="00B30D92"/>
    <w:rsid w:val="00B30F90"/>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60E"/>
    <w:rsid w:val="00B42710"/>
    <w:rsid w:val="00B42C4E"/>
    <w:rsid w:val="00B42FC6"/>
    <w:rsid w:val="00B4308D"/>
    <w:rsid w:val="00B43174"/>
    <w:rsid w:val="00B4397A"/>
    <w:rsid w:val="00B43CC6"/>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E15"/>
    <w:rsid w:val="00B5137F"/>
    <w:rsid w:val="00B5174E"/>
    <w:rsid w:val="00B51895"/>
    <w:rsid w:val="00B51924"/>
    <w:rsid w:val="00B51E3A"/>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6B8"/>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CB"/>
    <w:rsid w:val="00B87EDB"/>
    <w:rsid w:val="00B87FCF"/>
    <w:rsid w:val="00B902E8"/>
    <w:rsid w:val="00B90658"/>
    <w:rsid w:val="00B911DF"/>
    <w:rsid w:val="00B91E35"/>
    <w:rsid w:val="00B91FCA"/>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BB"/>
    <w:rsid w:val="00BA0BE3"/>
    <w:rsid w:val="00BA1A30"/>
    <w:rsid w:val="00BA2621"/>
    <w:rsid w:val="00BA267A"/>
    <w:rsid w:val="00BA3A0E"/>
    <w:rsid w:val="00BA3A3B"/>
    <w:rsid w:val="00BA3D0B"/>
    <w:rsid w:val="00BA409C"/>
    <w:rsid w:val="00BA4425"/>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C54"/>
    <w:rsid w:val="00BC2BC8"/>
    <w:rsid w:val="00BC3141"/>
    <w:rsid w:val="00BC34EB"/>
    <w:rsid w:val="00BC3F8D"/>
    <w:rsid w:val="00BC4515"/>
    <w:rsid w:val="00BC46D4"/>
    <w:rsid w:val="00BC4B12"/>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215F"/>
    <w:rsid w:val="00BD24E3"/>
    <w:rsid w:val="00BD277A"/>
    <w:rsid w:val="00BD2853"/>
    <w:rsid w:val="00BD28B0"/>
    <w:rsid w:val="00BD2BA2"/>
    <w:rsid w:val="00BD33B2"/>
    <w:rsid w:val="00BD35A8"/>
    <w:rsid w:val="00BD35BB"/>
    <w:rsid w:val="00BD4462"/>
    <w:rsid w:val="00BD48FC"/>
    <w:rsid w:val="00BD491E"/>
    <w:rsid w:val="00BD4DE2"/>
    <w:rsid w:val="00BD4FC1"/>
    <w:rsid w:val="00BD5583"/>
    <w:rsid w:val="00BD5777"/>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B24"/>
    <w:rsid w:val="00BF7CEB"/>
    <w:rsid w:val="00BF7F72"/>
    <w:rsid w:val="00C00002"/>
    <w:rsid w:val="00C013B9"/>
    <w:rsid w:val="00C02533"/>
    <w:rsid w:val="00C0255B"/>
    <w:rsid w:val="00C02A3E"/>
    <w:rsid w:val="00C02C22"/>
    <w:rsid w:val="00C02EA0"/>
    <w:rsid w:val="00C03071"/>
    <w:rsid w:val="00C0326B"/>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0EA"/>
    <w:rsid w:val="00C10261"/>
    <w:rsid w:val="00C103DB"/>
    <w:rsid w:val="00C107B9"/>
    <w:rsid w:val="00C10838"/>
    <w:rsid w:val="00C10A32"/>
    <w:rsid w:val="00C10DE6"/>
    <w:rsid w:val="00C11251"/>
    <w:rsid w:val="00C1141B"/>
    <w:rsid w:val="00C114EB"/>
    <w:rsid w:val="00C11759"/>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11"/>
    <w:rsid w:val="00C2076D"/>
    <w:rsid w:val="00C2088A"/>
    <w:rsid w:val="00C20B45"/>
    <w:rsid w:val="00C20C78"/>
    <w:rsid w:val="00C215D0"/>
    <w:rsid w:val="00C21E1E"/>
    <w:rsid w:val="00C21F32"/>
    <w:rsid w:val="00C22294"/>
    <w:rsid w:val="00C222B3"/>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3C7"/>
    <w:rsid w:val="00C4797B"/>
    <w:rsid w:val="00C47BA8"/>
    <w:rsid w:val="00C47F78"/>
    <w:rsid w:val="00C508ED"/>
    <w:rsid w:val="00C50936"/>
    <w:rsid w:val="00C50F19"/>
    <w:rsid w:val="00C5119E"/>
    <w:rsid w:val="00C511E0"/>
    <w:rsid w:val="00C51624"/>
    <w:rsid w:val="00C51789"/>
    <w:rsid w:val="00C52045"/>
    <w:rsid w:val="00C52E2F"/>
    <w:rsid w:val="00C538D5"/>
    <w:rsid w:val="00C53A87"/>
    <w:rsid w:val="00C53AFD"/>
    <w:rsid w:val="00C53D48"/>
    <w:rsid w:val="00C53D84"/>
    <w:rsid w:val="00C53E69"/>
    <w:rsid w:val="00C543CC"/>
    <w:rsid w:val="00C54940"/>
    <w:rsid w:val="00C54DC3"/>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17"/>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3E7E"/>
    <w:rsid w:val="00C740EB"/>
    <w:rsid w:val="00C74312"/>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59A"/>
    <w:rsid w:val="00C9071B"/>
    <w:rsid w:val="00C907BC"/>
    <w:rsid w:val="00C90A67"/>
    <w:rsid w:val="00C90B60"/>
    <w:rsid w:val="00C91604"/>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FBD"/>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5EAA"/>
    <w:rsid w:val="00CC626C"/>
    <w:rsid w:val="00CC62A8"/>
    <w:rsid w:val="00CC6844"/>
    <w:rsid w:val="00CC6DC7"/>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7E0"/>
    <w:rsid w:val="00CE083C"/>
    <w:rsid w:val="00CE0AAA"/>
    <w:rsid w:val="00CE0CB8"/>
    <w:rsid w:val="00CE1480"/>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D37"/>
    <w:rsid w:val="00CE72B4"/>
    <w:rsid w:val="00CE736D"/>
    <w:rsid w:val="00CE7370"/>
    <w:rsid w:val="00CE73C4"/>
    <w:rsid w:val="00CE7556"/>
    <w:rsid w:val="00CE7998"/>
    <w:rsid w:val="00CE7B8B"/>
    <w:rsid w:val="00CE7F74"/>
    <w:rsid w:val="00CF035C"/>
    <w:rsid w:val="00CF0380"/>
    <w:rsid w:val="00CF03A8"/>
    <w:rsid w:val="00CF03D6"/>
    <w:rsid w:val="00CF06A4"/>
    <w:rsid w:val="00CF0886"/>
    <w:rsid w:val="00CF0C5D"/>
    <w:rsid w:val="00CF0DFA"/>
    <w:rsid w:val="00CF1536"/>
    <w:rsid w:val="00CF166D"/>
    <w:rsid w:val="00CF21D6"/>
    <w:rsid w:val="00CF233A"/>
    <w:rsid w:val="00CF251E"/>
    <w:rsid w:val="00CF2603"/>
    <w:rsid w:val="00CF2FB1"/>
    <w:rsid w:val="00CF32AB"/>
    <w:rsid w:val="00CF3431"/>
    <w:rsid w:val="00CF3579"/>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E17"/>
    <w:rsid w:val="00D07214"/>
    <w:rsid w:val="00D073F9"/>
    <w:rsid w:val="00D07B6D"/>
    <w:rsid w:val="00D07B94"/>
    <w:rsid w:val="00D07EC2"/>
    <w:rsid w:val="00D10244"/>
    <w:rsid w:val="00D10259"/>
    <w:rsid w:val="00D10352"/>
    <w:rsid w:val="00D1077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CC"/>
    <w:rsid w:val="00D20A79"/>
    <w:rsid w:val="00D2117A"/>
    <w:rsid w:val="00D21492"/>
    <w:rsid w:val="00D214A6"/>
    <w:rsid w:val="00D21563"/>
    <w:rsid w:val="00D22102"/>
    <w:rsid w:val="00D222BC"/>
    <w:rsid w:val="00D22731"/>
    <w:rsid w:val="00D22A84"/>
    <w:rsid w:val="00D22DA7"/>
    <w:rsid w:val="00D230C9"/>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795"/>
    <w:rsid w:val="00D30965"/>
    <w:rsid w:val="00D309B6"/>
    <w:rsid w:val="00D31298"/>
    <w:rsid w:val="00D313D0"/>
    <w:rsid w:val="00D3174E"/>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ADF"/>
    <w:rsid w:val="00D36BC6"/>
    <w:rsid w:val="00D37041"/>
    <w:rsid w:val="00D37976"/>
    <w:rsid w:val="00D37F1E"/>
    <w:rsid w:val="00D40124"/>
    <w:rsid w:val="00D4063E"/>
    <w:rsid w:val="00D40AFC"/>
    <w:rsid w:val="00D40DAB"/>
    <w:rsid w:val="00D4100F"/>
    <w:rsid w:val="00D41675"/>
    <w:rsid w:val="00D4239A"/>
    <w:rsid w:val="00D42716"/>
    <w:rsid w:val="00D42814"/>
    <w:rsid w:val="00D42B18"/>
    <w:rsid w:val="00D43106"/>
    <w:rsid w:val="00D4317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07A"/>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6BB7"/>
    <w:rsid w:val="00D60903"/>
    <w:rsid w:val="00D60AC2"/>
    <w:rsid w:val="00D60D75"/>
    <w:rsid w:val="00D611F3"/>
    <w:rsid w:val="00D61897"/>
    <w:rsid w:val="00D61D7F"/>
    <w:rsid w:val="00D62117"/>
    <w:rsid w:val="00D62A3F"/>
    <w:rsid w:val="00D62A97"/>
    <w:rsid w:val="00D62B11"/>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8023F"/>
    <w:rsid w:val="00D804A0"/>
    <w:rsid w:val="00D806D2"/>
    <w:rsid w:val="00D808D4"/>
    <w:rsid w:val="00D8090A"/>
    <w:rsid w:val="00D8189E"/>
    <w:rsid w:val="00D81CA8"/>
    <w:rsid w:val="00D81D93"/>
    <w:rsid w:val="00D81E90"/>
    <w:rsid w:val="00D81F62"/>
    <w:rsid w:val="00D820CB"/>
    <w:rsid w:val="00D822A1"/>
    <w:rsid w:val="00D826C7"/>
    <w:rsid w:val="00D82FF4"/>
    <w:rsid w:val="00D83196"/>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762C"/>
    <w:rsid w:val="00D97A57"/>
    <w:rsid w:val="00DA0582"/>
    <w:rsid w:val="00DA0AE3"/>
    <w:rsid w:val="00DA0B41"/>
    <w:rsid w:val="00DA1231"/>
    <w:rsid w:val="00DA1233"/>
    <w:rsid w:val="00DA12D7"/>
    <w:rsid w:val="00DA143D"/>
    <w:rsid w:val="00DA15A1"/>
    <w:rsid w:val="00DA19A1"/>
    <w:rsid w:val="00DA20C3"/>
    <w:rsid w:val="00DA20D7"/>
    <w:rsid w:val="00DA2242"/>
    <w:rsid w:val="00DA2794"/>
    <w:rsid w:val="00DA3406"/>
    <w:rsid w:val="00DA3B52"/>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5CC7"/>
    <w:rsid w:val="00DB5E3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337"/>
    <w:rsid w:val="00DC25E3"/>
    <w:rsid w:val="00DC2688"/>
    <w:rsid w:val="00DC2804"/>
    <w:rsid w:val="00DC2C2D"/>
    <w:rsid w:val="00DC2D09"/>
    <w:rsid w:val="00DC2E14"/>
    <w:rsid w:val="00DC34AA"/>
    <w:rsid w:val="00DC3901"/>
    <w:rsid w:val="00DC3F52"/>
    <w:rsid w:val="00DC414D"/>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B6B"/>
    <w:rsid w:val="00DE2523"/>
    <w:rsid w:val="00DE2526"/>
    <w:rsid w:val="00DE255E"/>
    <w:rsid w:val="00DE2742"/>
    <w:rsid w:val="00DE2880"/>
    <w:rsid w:val="00DE290A"/>
    <w:rsid w:val="00DE2C1A"/>
    <w:rsid w:val="00DE2C5A"/>
    <w:rsid w:val="00DE2DD0"/>
    <w:rsid w:val="00DE31AD"/>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B76"/>
    <w:rsid w:val="00DE7CDF"/>
    <w:rsid w:val="00DE7E2D"/>
    <w:rsid w:val="00DE7FD7"/>
    <w:rsid w:val="00DF0A87"/>
    <w:rsid w:val="00DF1091"/>
    <w:rsid w:val="00DF1629"/>
    <w:rsid w:val="00DF17AD"/>
    <w:rsid w:val="00DF1B72"/>
    <w:rsid w:val="00DF1BB8"/>
    <w:rsid w:val="00DF1F52"/>
    <w:rsid w:val="00DF21AD"/>
    <w:rsid w:val="00DF2416"/>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B1D"/>
    <w:rsid w:val="00E02D47"/>
    <w:rsid w:val="00E02F78"/>
    <w:rsid w:val="00E03821"/>
    <w:rsid w:val="00E03B0E"/>
    <w:rsid w:val="00E03B76"/>
    <w:rsid w:val="00E048B1"/>
    <w:rsid w:val="00E048BA"/>
    <w:rsid w:val="00E05043"/>
    <w:rsid w:val="00E052E0"/>
    <w:rsid w:val="00E052F7"/>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4DF"/>
    <w:rsid w:val="00E11BD7"/>
    <w:rsid w:val="00E11D4C"/>
    <w:rsid w:val="00E12109"/>
    <w:rsid w:val="00E1290C"/>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3161"/>
    <w:rsid w:val="00E237D1"/>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C30"/>
    <w:rsid w:val="00E40F62"/>
    <w:rsid w:val="00E41417"/>
    <w:rsid w:val="00E41660"/>
    <w:rsid w:val="00E41835"/>
    <w:rsid w:val="00E41EEB"/>
    <w:rsid w:val="00E4267B"/>
    <w:rsid w:val="00E42776"/>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1D67"/>
    <w:rsid w:val="00E522E6"/>
    <w:rsid w:val="00E52514"/>
    <w:rsid w:val="00E5332E"/>
    <w:rsid w:val="00E53541"/>
    <w:rsid w:val="00E537F0"/>
    <w:rsid w:val="00E53947"/>
    <w:rsid w:val="00E53C61"/>
    <w:rsid w:val="00E53E57"/>
    <w:rsid w:val="00E53E59"/>
    <w:rsid w:val="00E53E98"/>
    <w:rsid w:val="00E541F4"/>
    <w:rsid w:val="00E54235"/>
    <w:rsid w:val="00E544A9"/>
    <w:rsid w:val="00E54583"/>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5791"/>
    <w:rsid w:val="00E8619B"/>
    <w:rsid w:val="00E86D56"/>
    <w:rsid w:val="00E86F16"/>
    <w:rsid w:val="00E8741B"/>
    <w:rsid w:val="00E87531"/>
    <w:rsid w:val="00E8779C"/>
    <w:rsid w:val="00E87B10"/>
    <w:rsid w:val="00E87DCB"/>
    <w:rsid w:val="00E87EFE"/>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E80"/>
    <w:rsid w:val="00E9454A"/>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6FE0"/>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6E8"/>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EA3"/>
    <w:rsid w:val="00ED1EBB"/>
    <w:rsid w:val="00ED2006"/>
    <w:rsid w:val="00ED2057"/>
    <w:rsid w:val="00ED2301"/>
    <w:rsid w:val="00ED279B"/>
    <w:rsid w:val="00ED29A1"/>
    <w:rsid w:val="00ED2E82"/>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D9"/>
    <w:rsid w:val="00EF72FE"/>
    <w:rsid w:val="00EF738B"/>
    <w:rsid w:val="00EF748F"/>
    <w:rsid w:val="00EF755E"/>
    <w:rsid w:val="00EF772E"/>
    <w:rsid w:val="00EF7F1E"/>
    <w:rsid w:val="00F001B6"/>
    <w:rsid w:val="00F005FF"/>
    <w:rsid w:val="00F006E8"/>
    <w:rsid w:val="00F008BC"/>
    <w:rsid w:val="00F00B2C"/>
    <w:rsid w:val="00F01548"/>
    <w:rsid w:val="00F01772"/>
    <w:rsid w:val="00F01774"/>
    <w:rsid w:val="00F01D83"/>
    <w:rsid w:val="00F01FD0"/>
    <w:rsid w:val="00F022CF"/>
    <w:rsid w:val="00F02556"/>
    <w:rsid w:val="00F03854"/>
    <w:rsid w:val="00F0387E"/>
    <w:rsid w:val="00F03B43"/>
    <w:rsid w:val="00F03E2C"/>
    <w:rsid w:val="00F040F9"/>
    <w:rsid w:val="00F041E2"/>
    <w:rsid w:val="00F04682"/>
    <w:rsid w:val="00F049C4"/>
    <w:rsid w:val="00F04AC1"/>
    <w:rsid w:val="00F05165"/>
    <w:rsid w:val="00F054A5"/>
    <w:rsid w:val="00F05BA3"/>
    <w:rsid w:val="00F0609E"/>
    <w:rsid w:val="00F06230"/>
    <w:rsid w:val="00F06541"/>
    <w:rsid w:val="00F070D6"/>
    <w:rsid w:val="00F07212"/>
    <w:rsid w:val="00F07C5D"/>
    <w:rsid w:val="00F07F4E"/>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A7"/>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BEA"/>
    <w:rsid w:val="00F36C44"/>
    <w:rsid w:val="00F36C93"/>
    <w:rsid w:val="00F36DE1"/>
    <w:rsid w:val="00F36FA7"/>
    <w:rsid w:val="00F370D1"/>
    <w:rsid w:val="00F37CC7"/>
    <w:rsid w:val="00F400EB"/>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50E"/>
    <w:rsid w:val="00F52669"/>
    <w:rsid w:val="00F528B3"/>
    <w:rsid w:val="00F52AA1"/>
    <w:rsid w:val="00F52CAF"/>
    <w:rsid w:val="00F52ECF"/>
    <w:rsid w:val="00F53570"/>
    <w:rsid w:val="00F5403E"/>
    <w:rsid w:val="00F546C2"/>
    <w:rsid w:val="00F5478F"/>
    <w:rsid w:val="00F54BC0"/>
    <w:rsid w:val="00F55089"/>
    <w:rsid w:val="00F560B5"/>
    <w:rsid w:val="00F56272"/>
    <w:rsid w:val="00F56484"/>
    <w:rsid w:val="00F5684A"/>
    <w:rsid w:val="00F56C05"/>
    <w:rsid w:val="00F56E59"/>
    <w:rsid w:val="00F57717"/>
    <w:rsid w:val="00F578C6"/>
    <w:rsid w:val="00F57B35"/>
    <w:rsid w:val="00F57B44"/>
    <w:rsid w:val="00F57C3D"/>
    <w:rsid w:val="00F600B0"/>
    <w:rsid w:val="00F60156"/>
    <w:rsid w:val="00F6017F"/>
    <w:rsid w:val="00F60FD3"/>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937"/>
    <w:rsid w:val="00F7496A"/>
    <w:rsid w:val="00F7515F"/>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02"/>
    <w:rsid w:val="00F9397F"/>
    <w:rsid w:val="00F93D86"/>
    <w:rsid w:val="00F93DAF"/>
    <w:rsid w:val="00F93F2F"/>
    <w:rsid w:val="00F9426F"/>
    <w:rsid w:val="00F9453E"/>
    <w:rsid w:val="00F949DF"/>
    <w:rsid w:val="00F94C74"/>
    <w:rsid w:val="00F950F2"/>
    <w:rsid w:val="00F954C0"/>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567"/>
    <w:rsid w:val="00FA4978"/>
    <w:rsid w:val="00FA4E92"/>
    <w:rsid w:val="00FA5335"/>
    <w:rsid w:val="00FA53B9"/>
    <w:rsid w:val="00FA5728"/>
    <w:rsid w:val="00FA6A70"/>
    <w:rsid w:val="00FA710C"/>
    <w:rsid w:val="00FA7C6D"/>
    <w:rsid w:val="00FA7CDA"/>
    <w:rsid w:val="00FB00C2"/>
    <w:rsid w:val="00FB03EA"/>
    <w:rsid w:val="00FB0C54"/>
    <w:rsid w:val="00FB1962"/>
    <w:rsid w:val="00FB1DA4"/>
    <w:rsid w:val="00FB27B5"/>
    <w:rsid w:val="00FB281A"/>
    <w:rsid w:val="00FB2AF2"/>
    <w:rsid w:val="00FB3015"/>
    <w:rsid w:val="00FB3136"/>
    <w:rsid w:val="00FB3183"/>
    <w:rsid w:val="00FB381D"/>
    <w:rsid w:val="00FB3959"/>
    <w:rsid w:val="00FB4777"/>
    <w:rsid w:val="00FB4BA0"/>
    <w:rsid w:val="00FB4F76"/>
    <w:rsid w:val="00FB4F84"/>
    <w:rsid w:val="00FB52F3"/>
    <w:rsid w:val="00FB53AE"/>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CBA"/>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346E"/>
    <w:rsid w:val="00FE39B0"/>
    <w:rsid w:val="00FE3D62"/>
    <w:rsid w:val="00FE3E69"/>
    <w:rsid w:val="00FE4487"/>
    <w:rsid w:val="00FE4B66"/>
    <w:rsid w:val="00FE4D0C"/>
    <w:rsid w:val="00FE4F10"/>
    <w:rsid w:val="00FE4F24"/>
    <w:rsid w:val="00FE53D4"/>
    <w:rsid w:val="00FE5A68"/>
    <w:rsid w:val="00FE5C15"/>
    <w:rsid w:val="00FE6656"/>
    <w:rsid w:val="00FE66AD"/>
    <w:rsid w:val="00FE69C1"/>
    <w:rsid w:val="00FE6E6B"/>
    <w:rsid w:val="00FE715A"/>
    <w:rsid w:val="00FE7EC5"/>
    <w:rsid w:val="00FF0D0C"/>
    <w:rsid w:val="00FF10B0"/>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DDAFF"/>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57680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
    <w:name w:val="TI"/>
    <w:basedOn w:val="Normal"/>
    <w:semiHidden/>
    <w:rsid w:val="00F36BEA"/>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table" w:customStyle="1" w:styleId="TableGrid10">
    <w:name w:val="TableGrid1"/>
    <w:basedOn w:val="TableNormal"/>
    <w:next w:val="TableGrid"/>
    <w:uiPriority w:val="39"/>
    <w:rsid w:val="0062747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B7C8B"/>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6554376">
      <w:bodyDiv w:val="1"/>
      <w:marLeft w:val="0"/>
      <w:marRight w:val="0"/>
      <w:marTop w:val="0"/>
      <w:marBottom w:val="0"/>
      <w:divBdr>
        <w:top w:val="none" w:sz="0" w:space="0" w:color="auto"/>
        <w:left w:val="none" w:sz="0" w:space="0" w:color="auto"/>
        <w:bottom w:val="none" w:sz="0" w:space="0" w:color="auto"/>
        <w:right w:val="none" w:sz="0" w:space="0" w:color="auto"/>
      </w:divBdr>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5.vsdx"/><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package" Target="embeddings/Microsoft_Visio_Drawing7.vsdx"/><Relationship Id="rId40"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1.bin"/><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package" Target="embeddings/Microsoft_Visio_Drawing6.vsdx"/><Relationship Id="rId30" Type="http://schemas.openxmlformats.org/officeDocument/2006/relationships/image" Target="media/image12.wmf"/><Relationship Id="rId35" Type="http://schemas.openxmlformats.org/officeDocument/2006/relationships/oleObject" Target="embeddings/oleObject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E2CEE-8F5C-4BED-90C9-CBEC78BE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3381</Words>
  <Characters>19278</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4</cp:revision>
  <cp:lastPrinted>2017-03-24T05:34:00Z</cp:lastPrinted>
  <dcterms:created xsi:type="dcterms:W3CDTF">2022-02-14T19:31:00Z</dcterms:created>
  <dcterms:modified xsi:type="dcterms:W3CDTF">2022-02-14T19:32:00Z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